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CBCBC" w14:textId="3E4EF3D1" w:rsidR="007B2391" w:rsidRPr="00B4340C" w:rsidRDefault="00541D7F" w:rsidP="00541D7F">
      <w:pPr>
        <w:tabs>
          <w:tab w:val="left" w:pos="3686"/>
        </w:tabs>
        <w:ind w:left="4253" w:right="-1"/>
        <w:jc w:val="center"/>
        <w:rPr>
          <w:rFonts w:ascii="Arial" w:hAnsi="Arial" w:cs="Arial"/>
        </w:rPr>
      </w:pPr>
      <w:r w:rsidRPr="00B4340C">
        <w:rPr>
          <w:rFonts w:ascii="Arial" w:hAnsi="Arial" w:cs="Arial"/>
          <w:b/>
          <w:color w:val="000000"/>
        </w:rPr>
        <w:tab/>
      </w:r>
      <w:r w:rsidRPr="00B4340C">
        <w:rPr>
          <w:rFonts w:ascii="Arial" w:hAnsi="Arial" w:cs="Arial"/>
          <w:b/>
          <w:color w:val="000000"/>
        </w:rPr>
        <w:tab/>
      </w:r>
      <w:r w:rsidRPr="00B4340C">
        <w:rPr>
          <w:rFonts w:ascii="Arial" w:hAnsi="Arial" w:cs="Arial"/>
          <w:b/>
          <w:color w:val="000000"/>
        </w:rPr>
        <w:tab/>
      </w:r>
      <w:r w:rsidRPr="00B4340C">
        <w:rPr>
          <w:rFonts w:ascii="Arial" w:hAnsi="Arial" w:cs="Arial"/>
          <w:b/>
          <w:color w:val="000000"/>
        </w:rPr>
        <w:tab/>
      </w:r>
      <w:r w:rsidRPr="00B4340C">
        <w:rPr>
          <w:rFonts w:ascii="Arial" w:hAnsi="Arial" w:cs="Arial"/>
          <w:b/>
          <w:color w:val="000000"/>
        </w:rPr>
        <w:tab/>
        <w:t xml:space="preserve">     </w:t>
      </w:r>
      <w:r w:rsidR="007B2391" w:rsidRPr="00B4340C">
        <w:rPr>
          <w:rFonts w:ascii="Arial" w:hAnsi="Arial" w:cs="Arial"/>
          <w:b/>
          <w:color w:val="000000"/>
        </w:rPr>
        <w:t>OP/EUI/</w:t>
      </w:r>
      <w:r w:rsidR="00BA660F" w:rsidRPr="00B4340C">
        <w:rPr>
          <w:rFonts w:ascii="Arial" w:hAnsi="Arial" w:cs="Arial"/>
          <w:b/>
          <w:color w:val="000000"/>
        </w:rPr>
        <w:t>BFA</w:t>
      </w:r>
      <w:r w:rsidR="007B2391" w:rsidRPr="00B4340C">
        <w:rPr>
          <w:rFonts w:ascii="Arial" w:hAnsi="Arial" w:cs="Arial"/>
          <w:b/>
          <w:color w:val="000000"/>
        </w:rPr>
        <w:t>/202</w:t>
      </w:r>
      <w:r w:rsidR="008B5CAD" w:rsidRPr="00B4340C">
        <w:rPr>
          <w:rFonts w:ascii="Arial" w:hAnsi="Arial" w:cs="Arial"/>
          <w:b/>
          <w:color w:val="000000"/>
        </w:rPr>
        <w:t>1</w:t>
      </w:r>
      <w:r w:rsidR="00791EF2" w:rsidRPr="00B4340C">
        <w:rPr>
          <w:rFonts w:ascii="Arial" w:hAnsi="Arial" w:cs="Arial"/>
          <w:b/>
          <w:color w:val="000000"/>
        </w:rPr>
        <w:t>/00</w:t>
      </w:r>
      <w:r w:rsidR="008B5CAD" w:rsidRPr="00B4340C">
        <w:rPr>
          <w:rFonts w:ascii="Arial" w:hAnsi="Arial" w:cs="Arial"/>
          <w:b/>
          <w:color w:val="000000"/>
        </w:rPr>
        <w:t>1</w:t>
      </w:r>
    </w:p>
    <w:p w14:paraId="4271501D" w14:textId="77777777" w:rsidR="00075B4C" w:rsidRPr="00B4340C" w:rsidRDefault="00075B4C">
      <w:pPr>
        <w:pStyle w:val="BodyText"/>
        <w:spacing w:before="1"/>
        <w:rPr>
          <w:rFonts w:ascii="Arial" w:hAnsi="Arial" w:cs="Arial"/>
          <w:b w:val="0"/>
          <w:sz w:val="21"/>
        </w:rPr>
      </w:pPr>
    </w:p>
    <w:p w14:paraId="101B3DE2" w14:textId="77777777" w:rsidR="00075B4C" w:rsidRPr="00B4340C" w:rsidRDefault="00BA660F" w:rsidP="008F5BB6">
      <w:pPr>
        <w:autoSpaceDE/>
        <w:autoSpaceDN/>
        <w:jc w:val="center"/>
        <w:rPr>
          <w:rFonts w:ascii="Arial" w:eastAsia="Times New Roman" w:hAnsi="Arial" w:cs="Arial"/>
          <w:b/>
          <w:smallCaps/>
          <w:sz w:val="24"/>
          <w:lang w:eastAsia="it-IT" w:bidi="ar-SA"/>
        </w:rPr>
      </w:pPr>
      <w:r w:rsidRPr="00B4340C">
        <w:rPr>
          <w:rFonts w:ascii="Arial" w:eastAsia="Times New Roman" w:hAnsi="Arial" w:cs="Arial"/>
          <w:b/>
          <w:smallCaps/>
          <w:sz w:val="24"/>
          <w:lang w:eastAsia="it-IT" w:bidi="ar-SA"/>
        </w:rPr>
        <w:t xml:space="preserve">OPEN CALL FOR TENDER TO PROVIDE </w:t>
      </w:r>
      <w:r w:rsidR="00791EF2" w:rsidRPr="00B4340C">
        <w:rPr>
          <w:rFonts w:ascii="Arial" w:eastAsia="Times New Roman" w:hAnsi="Arial" w:cs="Arial"/>
          <w:b/>
          <w:smallCaps/>
          <w:sz w:val="24"/>
          <w:lang w:eastAsia="it-IT" w:bidi="ar-SA"/>
        </w:rPr>
        <w:t>EXTERANAL AUDIT</w:t>
      </w:r>
      <w:r w:rsidRPr="00B4340C">
        <w:rPr>
          <w:rFonts w:ascii="Arial" w:eastAsia="Times New Roman" w:hAnsi="Arial" w:cs="Arial"/>
          <w:b/>
          <w:smallCaps/>
          <w:sz w:val="24"/>
          <w:lang w:eastAsia="it-IT" w:bidi="ar-SA"/>
        </w:rPr>
        <w:t xml:space="preserve"> SERVICES TO THE EUROPEAN UNIVERSITY INSTITUTE</w:t>
      </w:r>
    </w:p>
    <w:p w14:paraId="285BB8D0" w14:textId="77777777" w:rsidR="00075B4C" w:rsidRPr="00B4340C" w:rsidRDefault="0017222D" w:rsidP="008F5BB6">
      <w:pPr>
        <w:ind w:left="936" w:right="939"/>
        <w:jc w:val="center"/>
        <w:rPr>
          <w:rFonts w:ascii="Arial" w:hAnsi="Arial" w:cs="Arial"/>
          <w:b/>
          <w:sz w:val="24"/>
        </w:rPr>
      </w:pPr>
      <w:r w:rsidRPr="00B4340C">
        <w:rPr>
          <w:rFonts w:ascii="Arial" w:hAnsi="Arial" w:cs="Arial"/>
          <w:b/>
          <w:sz w:val="24"/>
        </w:rPr>
        <w:t>ECONOMIC OFFER</w:t>
      </w:r>
    </w:p>
    <w:p w14:paraId="61CDBB4F" w14:textId="77777777" w:rsidR="00075B4C" w:rsidRPr="00B4340C" w:rsidRDefault="0017222D">
      <w:pPr>
        <w:pStyle w:val="Heading2"/>
        <w:tabs>
          <w:tab w:val="left" w:pos="10004"/>
        </w:tabs>
        <w:spacing w:before="156"/>
        <w:rPr>
          <w:rFonts w:ascii="Arial" w:hAnsi="Arial" w:cs="Arial"/>
        </w:rPr>
      </w:pPr>
      <w:r w:rsidRPr="00B4340C">
        <w:rPr>
          <w:rFonts w:ascii="Arial" w:hAnsi="Arial" w:cs="Arial"/>
        </w:rPr>
        <w:t>I, the</w:t>
      </w:r>
      <w:r w:rsidRPr="00B4340C">
        <w:rPr>
          <w:rFonts w:ascii="Arial" w:hAnsi="Arial" w:cs="Arial"/>
          <w:spacing w:val="-12"/>
        </w:rPr>
        <w:t xml:space="preserve"> </w:t>
      </w:r>
      <w:r w:rsidRPr="00B4340C">
        <w:rPr>
          <w:rFonts w:ascii="Arial" w:hAnsi="Arial" w:cs="Arial"/>
        </w:rPr>
        <w:t>undersigned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</w:p>
    <w:p w14:paraId="2C97B352" w14:textId="77777777" w:rsidR="00075B4C" w:rsidRPr="00B4340C" w:rsidRDefault="00075B4C">
      <w:pPr>
        <w:pStyle w:val="BodyText"/>
        <w:spacing w:before="6"/>
        <w:rPr>
          <w:rFonts w:ascii="Arial" w:hAnsi="Arial" w:cs="Arial"/>
          <w:b w:val="0"/>
          <w:sz w:val="15"/>
        </w:rPr>
      </w:pPr>
    </w:p>
    <w:p w14:paraId="52C720A9" w14:textId="77777777" w:rsidR="00075B4C" w:rsidRPr="00B4340C" w:rsidRDefault="0017222D">
      <w:pPr>
        <w:tabs>
          <w:tab w:val="left" w:pos="4117"/>
          <w:tab w:val="left" w:pos="4929"/>
          <w:tab w:val="left" w:pos="9934"/>
          <w:tab w:val="left" w:pos="9973"/>
        </w:tabs>
        <w:spacing w:before="88" w:line="468" w:lineRule="auto"/>
        <w:ind w:left="518" w:right="688"/>
        <w:rPr>
          <w:rFonts w:ascii="Arial" w:hAnsi="Arial" w:cs="Arial"/>
        </w:rPr>
      </w:pPr>
      <w:r w:rsidRPr="00B4340C">
        <w:rPr>
          <w:rFonts w:ascii="Arial" w:hAnsi="Arial" w:cs="Arial"/>
        </w:rPr>
        <w:t>born</w:t>
      </w:r>
      <w:r w:rsidRPr="00B4340C">
        <w:rPr>
          <w:rFonts w:ascii="Arial" w:hAnsi="Arial" w:cs="Arial"/>
          <w:spacing w:val="-1"/>
        </w:rPr>
        <w:t xml:space="preserve"> </w:t>
      </w:r>
      <w:r w:rsidRPr="00B4340C">
        <w:rPr>
          <w:rFonts w:ascii="Arial" w:hAnsi="Arial" w:cs="Arial"/>
        </w:rPr>
        <w:t>in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  <w:r w:rsidRPr="00B4340C">
        <w:rPr>
          <w:rFonts w:ascii="Arial" w:hAnsi="Arial" w:cs="Arial"/>
        </w:rPr>
        <w:t>on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  <w:r w:rsidRPr="00B4340C">
        <w:rPr>
          <w:rFonts w:ascii="Arial" w:hAnsi="Arial" w:cs="Arial"/>
          <w:u w:val="single"/>
        </w:rPr>
        <w:tab/>
      </w:r>
      <w:r w:rsidRPr="00B4340C">
        <w:rPr>
          <w:rFonts w:ascii="Arial" w:hAnsi="Arial" w:cs="Arial"/>
          <w:spacing w:val="-18"/>
        </w:rPr>
        <w:t xml:space="preserve">, </w:t>
      </w:r>
      <w:r w:rsidRPr="00B4340C">
        <w:rPr>
          <w:rFonts w:ascii="Arial" w:hAnsi="Arial" w:cs="Arial"/>
        </w:rPr>
        <w:t>resident</w:t>
      </w:r>
      <w:r w:rsidRPr="00B4340C">
        <w:rPr>
          <w:rFonts w:ascii="Arial" w:hAnsi="Arial" w:cs="Arial"/>
          <w:spacing w:val="-3"/>
        </w:rPr>
        <w:t xml:space="preserve"> </w:t>
      </w:r>
      <w:r w:rsidRPr="00B4340C">
        <w:rPr>
          <w:rFonts w:ascii="Arial" w:hAnsi="Arial" w:cs="Arial"/>
        </w:rPr>
        <w:t>of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  <w:r w:rsidRPr="00B4340C">
        <w:rPr>
          <w:rFonts w:ascii="Arial" w:hAnsi="Arial" w:cs="Arial"/>
          <w:u w:val="single"/>
        </w:rPr>
        <w:tab/>
      </w:r>
      <w:r w:rsidRPr="00B4340C">
        <w:rPr>
          <w:rFonts w:ascii="Arial" w:hAnsi="Arial" w:cs="Arial"/>
        </w:rPr>
        <w:t>with fiscal</w:t>
      </w:r>
      <w:r w:rsidRPr="00B4340C">
        <w:rPr>
          <w:rFonts w:ascii="Arial" w:hAnsi="Arial" w:cs="Arial"/>
          <w:spacing w:val="-11"/>
        </w:rPr>
        <w:t xml:space="preserve"> </w:t>
      </w:r>
      <w:r w:rsidRPr="00B4340C">
        <w:rPr>
          <w:rFonts w:ascii="Arial" w:hAnsi="Arial" w:cs="Arial"/>
        </w:rPr>
        <w:t>code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  <w:r w:rsidRPr="00B4340C">
        <w:rPr>
          <w:rFonts w:ascii="Arial" w:hAnsi="Arial" w:cs="Arial"/>
          <w:u w:val="single"/>
        </w:rPr>
        <w:tab/>
      </w:r>
    </w:p>
    <w:p w14:paraId="3C3CE55C" w14:textId="77777777" w:rsidR="00075B4C" w:rsidRPr="00B4340C" w:rsidRDefault="0017222D">
      <w:pPr>
        <w:tabs>
          <w:tab w:val="left" w:pos="10037"/>
        </w:tabs>
        <w:spacing w:line="207" w:lineRule="exact"/>
        <w:ind w:left="518"/>
        <w:rPr>
          <w:rFonts w:ascii="Arial" w:hAnsi="Arial" w:cs="Arial"/>
        </w:rPr>
      </w:pPr>
      <w:r w:rsidRPr="00B4340C">
        <w:rPr>
          <w:rFonts w:ascii="Arial" w:hAnsi="Arial" w:cs="Arial"/>
        </w:rPr>
        <w:t>in the role</w:t>
      </w:r>
      <w:r w:rsidRPr="00B4340C">
        <w:rPr>
          <w:rFonts w:ascii="Arial" w:hAnsi="Arial" w:cs="Arial"/>
          <w:spacing w:val="-7"/>
        </w:rPr>
        <w:t xml:space="preserve"> </w:t>
      </w:r>
      <w:r w:rsidRPr="00B4340C">
        <w:rPr>
          <w:rFonts w:ascii="Arial" w:hAnsi="Arial" w:cs="Arial"/>
        </w:rPr>
        <w:t>of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</w:p>
    <w:p w14:paraId="0737DED4" w14:textId="77777777" w:rsidR="00075B4C" w:rsidRPr="00B4340C" w:rsidRDefault="00075B4C">
      <w:pPr>
        <w:pStyle w:val="BodyText"/>
        <w:spacing w:before="6"/>
        <w:rPr>
          <w:rFonts w:ascii="Arial" w:hAnsi="Arial" w:cs="Arial"/>
          <w:b w:val="0"/>
          <w:sz w:val="14"/>
        </w:rPr>
      </w:pPr>
    </w:p>
    <w:p w14:paraId="056C2DC8" w14:textId="77777777" w:rsidR="00075B4C" w:rsidRPr="00B4340C" w:rsidRDefault="0017222D">
      <w:pPr>
        <w:tabs>
          <w:tab w:val="left" w:pos="9923"/>
        </w:tabs>
        <w:spacing w:before="87"/>
        <w:ind w:left="518"/>
        <w:rPr>
          <w:rFonts w:ascii="Arial" w:hAnsi="Arial" w:cs="Arial"/>
        </w:rPr>
      </w:pPr>
      <w:r w:rsidRPr="00B4340C">
        <w:rPr>
          <w:rFonts w:ascii="Arial" w:hAnsi="Arial" w:cs="Arial"/>
        </w:rPr>
        <w:t xml:space="preserve">for the company/ </w:t>
      </w:r>
      <w:r w:rsidRPr="00B4340C">
        <w:rPr>
          <w:rFonts w:ascii="Arial" w:hAnsi="Arial" w:cs="Arial"/>
          <w:spacing w:val="-6"/>
        </w:rPr>
        <w:t>T</w:t>
      </w:r>
      <w:r w:rsidR="00FF79F8" w:rsidRPr="00B4340C">
        <w:rPr>
          <w:rFonts w:ascii="Arial" w:hAnsi="Arial" w:cs="Arial"/>
          <w:spacing w:val="-6"/>
        </w:rPr>
        <w:t>GC</w:t>
      </w:r>
      <w:r w:rsidRPr="00B4340C">
        <w:rPr>
          <w:rFonts w:ascii="Arial" w:hAnsi="Arial" w:cs="Arial"/>
          <w:spacing w:val="-6"/>
        </w:rPr>
        <w:t>/</w:t>
      </w:r>
      <w:r w:rsidRPr="00B4340C">
        <w:rPr>
          <w:rFonts w:ascii="Arial" w:hAnsi="Arial" w:cs="Arial"/>
          <w:spacing w:val="-16"/>
        </w:rPr>
        <w:t xml:space="preserve"> </w:t>
      </w:r>
      <w:r w:rsidRPr="00B4340C">
        <w:rPr>
          <w:rFonts w:ascii="Arial" w:hAnsi="Arial" w:cs="Arial"/>
        </w:rPr>
        <w:t>Consortium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</w:p>
    <w:p w14:paraId="2224FF11" w14:textId="77777777" w:rsidR="00075B4C" w:rsidRPr="00B4340C" w:rsidRDefault="00075B4C">
      <w:pPr>
        <w:pStyle w:val="BodyText"/>
        <w:spacing w:before="7"/>
        <w:rPr>
          <w:rFonts w:ascii="Arial" w:hAnsi="Arial" w:cs="Arial"/>
          <w:b w:val="0"/>
          <w:sz w:val="14"/>
        </w:rPr>
      </w:pPr>
    </w:p>
    <w:p w14:paraId="0059E581" w14:textId="77777777" w:rsidR="00075B4C" w:rsidRPr="00B4340C" w:rsidRDefault="0017222D">
      <w:pPr>
        <w:tabs>
          <w:tab w:val="left" w:pos="10019"/>
        </w:tabs>
        <w:spacing w:before="87"/>
        <w:ind w:left="518"/>
        <w:rPr>
          <w:rFonts w:ascii="Arial" w:hAnsi="Arial" w:cs="Arial"/>
        </w:rPr>
      </w:pPr>
      <w:r w:rsidRPr="00B4340C">
        <w:rPr>
          <w:rFonts w:ascii="Arial" w:hAnsi="Arial" w:cs="Arial"/>
        </w:rPr>
        <w:t>with registered office</w:t>
      </w:r>
      <w:r w:rsidRPr="00B4340C">
        <w:rPr>
          <w:rFonts w:ascii="Arial" w:hAnsi="Arial" w:cs="Arial"/>
          <w:spacing w:val="-17"/>
        </w:rPr>
        <w:t xml:space="preserve"> </w:t>
      </w:r>
      <w:r w:rsidRPr="00B4340C">
        <w:rPr>
          <w:rFonts w:ascii="Arial" w:hAnsi="Arial" w:cs="Arial"/>
        </w:rPr>
        <w:t>in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</w:p>
    <w:p w14:paraId="13C62D6E" w14:textId="77777777" w:rsidR="00075B4C" w:rsidRPr="00B4340C" w:rsidRDefault="00075B4C">
      <w:pPr>
        <w:pStyle w:val="BodyText"/>
        <w:spacing w:before="6"/>
        <w:rPr>
          <w:rFonts w:ascii="Arial" w:hAnsi="Arial" w:cs="Arial"/>
          <w:b w:val="0"/>
          <w:sz w:val="14"/>
        </w:rPr>
      </w:pPr>
    </w:p>
    <w:p w14:paraId="34C984D8" w14:textId="77777777" w:rsidR="00075B4C" w:rsidRPr="00B4340C" w:rsidRDefault="0017222D">
      <w:pPr>
        <w:tabs>
          <w:tab w:val="left" w:pos="10007"/>
        </w:tabs>
        <w:spacing w:before="88"/>
        <w:ind w:left="518"/>
        <w:rPr>
          <w:rFonts w:ascii="Arial" w:hAnsi="Arial" w:cs="Arial"/>
        </w:rPr>
      </w:pPr>
      <w:r w:rsidRPr="00B4340C">
        <w:rPr>
          <w:rFonts w:ascii="Arial" w:hAnsi="Arial" w:cs="Arial"/>
        </w:rPr>
        <w:t>and administrative office</w:t>
      </w:r>
      <w:r w:rsidRPr="00B4340C">
        <w:rPr>
          <w:rFonts w:ascii="Arial" w:hAnsi="Arial" w:cs="Arial"/>
          <w:spacing w:val="-21"/>
        </w:rPr>
        <w:t xml:space="preserve"> </w:t>
      </w:r>
      <w:r w:rsidRPr="00B4340C">
        <w:rPr>
          <w:rFonts w:ascii="Arial" w:hAnsi="Arial" w:cs="Arial"/>
        </w:rPr>
        <w:t>in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</w:p>
    <w:p w14:paraId="31FA16F0" w14:textId="77777777" w:rsidR="00075B4C" w:rsidRPr="00B4340C" w:rsidRDefault="00075B4C">
      <w:pPr>
        <w:pStyle w:val="BodyText"/>
        <w:spacing w:before="5"/>
        <w:rPr>
          <w:rFonts w:ascii="Arial" w:hAnsi="Arial" w:cs="Arial"/>
          <w:b w:val="0"/>
          <w:sz w:val="17"/>
        </w:rPr>
      </w:pPr>
    </w:p>
    <w:p w14:paraId="624EB147" w14:textId="05D737E2" w:rsidR="00075B4C" w:rsidRPr="00B4340C" w:rsidRDefault="0017222D" w:rsidP="00BA660F">
      <w:pPr>
        <w:pStyle w:val="Heading1"/>
        <w:rPr>
          <w:rFonts w:ascii="Arial" w:hAnsi="Arial" w:cs="Arial"/>
        </w:rPr>
      </w:pPr>
      <w:r w:rsidRPr="00B4340C">
        <w:rPr>
          <w:rFonts w:ascii="Arial" w:hAnsi="Arial" w:cs="Arial"/>
        </w:rPr>
        <w:t>PRESENT</w:t>
      </w:r>
      <w:r w:rsidR="002B421E" w:rsidRPr="00B4340C">
        <w:rPr>
          <w:rFonts w:ascii="Arial" w:hAnsi="Arial" w:cs="Arial"/>
        </w:rPr>
        <w:t>S</w:t>
      </w:r>
      <w:r w:rsidRPr="00B4340C">
        <w:rPr>
          <w:rFonts w:ascii="Arial" w:hAnsi="Arial" w:cs="Arial"/>
        </w:rPr>
        <w:t xml:space="preserve"> THE FOLLOWING ECONOMIC OFFER</w:t>
      </w:r>
      <w:r w:rsidR="00B4340C">
        <w:rPr>
          <w:rFonts w:ascii="Arial" w:hAnsi="Arial" w:cs="Arial"/>
        </w:rPr>
        <w:t xml:space="preserve"> (ref article 11 of T.S.)</w:t>
      </w:r>
      <w:r w:rsidRPr="00B4340C">
        <w:rPr>
          <w:rFonts w:ascii="Arial" w:hAnsi="Arial" w:cs="Arial"/>
        </w:rPr>
        <w:t>:</w:t>
      </w:r>
    </w:p>
    <w:p w14:paraId="4A940DC7" w14:textId="10DA7475" w:rsidR="00075B4C" w:rsidRPr="00B4340C" w:rsidRDefault="0017222D" w:rsidP="00BA660F">
      <w:pPr>
        <w:ind w:left="530" w:right="533" w:hanging="1"/>
        <w:jc w:val="center"/>
        <w:rPr>
          <w:rFonts w:ascii="Arial" w:hAnsi="Arial" w:cs="Arial"/>
          <w:sz w:val="18"/>
        </w:rPr>
      </w:pPr>
      <w:r w:rsidRPr="00B4340C">
        <w:rPr>
          <w:rFonts w:ascii="Arial" w:hAnsi="Arial" w:cs="Arial"/>
          <w:sz w:val="18"/>
        </w:rPr>
        <w:t xml:space="preserve">(prices must be </w:t>
      </w:r>
      <w:r w:rsidRPr="00B4340C">
        <w:rPr>
          <w:rFonts w:ascii="Arial" w:hAnsi="Arial" w:cs="Arial"/>
          <w:spacing w:val="-8"/>
          <w:sz w:val="18"/>
        </w:rPr>
        <w:t xml:space="preserve">VAT </w:t>
      </w:r>
      <w:r w:rsidRPr="00B4340C">
        <w:rPr>
          <w:rFonts w:ascii="Arial" w:hAnsi="Arial" w:cs="Arial"/>
          <w:sz w:val="18"/>
        </w:rPr>
        <w:t>exempt, since the Institute is exempt from payment of value added tax for services and purchases under the normal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course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of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business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for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amounts</w:t>
      </w:r>
      <w:r w:rsidRPr="00B4340C">
        <w:rPr>
          <w:rFonts w:ascii="Arial" w:hAnsi="Arial" w:cs="Arial"/>
          <w:spacing w:val="-6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exceeding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€300.00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(pursuant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to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Article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72-paragraph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1-e,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paragraph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2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of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Presidential</w:t>
      </w:r>
      <w:r w:rsidRPr="00B4340C">
        <w:rPr>
          <w:rFonts w:ascii="Arial" w:hAnsi="Arial" w:cs="Arial"/>
          <w:spacing w:val="-5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Decree 633 of 26/10/1972 and subsequent</w:t>
      </w:r>
      <w:r w:rsidRPr="00B4340C">
        <w:rPr>
          <w:rFonts w:ascii="Arial" w:hAnsi="Arial" w:cs="Arial"/>
          <w:spacing w:val="-4"/>
          <w:sz w:val="18"/>
        </w:rPr>
        <w:t xml:space="preserve"> </w:t>
      </w:r>
      <w:r w:rsidRPr="00B4340C">
        <w:rPr>
          <w:rFonts w:ascii="Arial" w:hAnsi="Arial" w:cs="Arial"/>
          <w:sz w:val="18"/>
        </w:rPr>
        <w:t>amendments)</w:t>
      </w:r>
    </w:p>
    <w:p w14:paraId="27B25D95" w14:textId="00BCF600" w:rsidR="00661E21" w:rsidRPr="00B4340C" w:rsidRDefault="00661E21" w:rsidP="00BA660F">
      <w:pPr>
        <w:ind w:left="530" w:right="533" w:hanging="1"/>
        <w:jc w:val="center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1"/>
        <w:gridCol w:w="995"/>
        <w:gridCol w:w="884"/>
      </w:tblGrid>
      <w:tr w:rsidR="00661E21" w:rsidRPr="00B4340C" w14:paraId="4F67E5EC" w14:textId="77777777" w:rsidTr="00661E21">
        <w:trPr>
          <w:trHeight w:val="470"/>
          <w:jc w:val="center"/>
        </w:trPr>
        <w:tc>
          <w:tcPr>
            <w:tcW w:w="4150" w:type="pct"/>
            <w:shd w:val="clear" w:color="auto" w:fill="auto"/>
            <w:vAlign w:val="center"/>
            <w:hideMark/>
          </w:tcPr>
          <w:p w14:paraId="4315B3C4" w14:textId="1292652F" w:rsidR="000D7F74" w:rsidRPr="00B4340C" w:rsidRDefault="00661E21" w:rsidP="000D7F7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</w:pPr>
            <w:r w:rsidRPr="00B434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  <w:t xml:space="preserve">Price A: </w:t>
            </w:r>
          </w:p>
          <w:p w14:paraId="60856872" w14:textId="0EAD31D6" w:rsidR="00661E21" w:rsidRPr="00B4340C" w:rsidRDefault="000D7F74" w:rsidP="00F3421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/>
              <w:jc w:val="both"/>
              <w:rPr>
                <w:rFonts w:ascii="Arial" w:hAnsi="Arial" w:cs="Arial"/>
              </w:rPr>
            </w:pPr>
            <w:r w:rsidRPr="00B4340C">
              <w:rPr>
                <w:rFonts w:ascii="Arial" w:hAnsi="Arial" w:cs="Arial"/>
              </w:rPr>
              <w:t xml:space="preserve">Performing a financial audit to issue an audit opinion on the reliability of the EUI’s annual accounts and the regularity of the transactions underlying them, a compliance audit to issue and audit opinion on the legality and regularity of the </w:t>
            </w:r>
            <w:r w:rsidRPr="00B4340C">
              <w:rPr>
                <w:rFonts w:ascii="Arial" w:hAnsi="Arial" w:cs="Arial"/>
                <w:i/>
              </w:rPr>
              <w:t>EUI-Core activities</w:t>
            </w:r>
            <w:r w:rsidRPr="00B4340C">
              <w:rPr>
                <w:rFonts w:ascii="Arial" w:hAnsi="Arial" w:cs="Arial"/>
              </w:rPr>
              <w:t xml:space="preserve"> budget execution (assessing the sound financial management is included), according the EUI Financial Rules and to the International Standards of Auditing (ISA)</w:t>
            </w:r>
          </w:p>
          <w:p w14:paraId="1233BF9B" w14:textId="7B708020" w:rsidR="000D7F74" w:rsidRPr="00B4340C" w:rsidRDefault="000D7F74" w:rsidP="00F3421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/>
              <w:jc w:val="both"/>
              <w:rPr>
                <w:rFonts w:ascii="Arial" w:hAnsi="Arial" w:cs="Arial"/>
              </w:rPr>
            </w:pPr>
            <w:r w:rsidRPr="00B4340C">
              <w:rPr>
                <w:rFonts w:ascii="Arial" w:hAnsi="Arial" w:cs="Arial"/>
              </w:rPr>
              <w:t xml:space="preserve">Performing a financial audit to issue an audit opinion on the </w:t>
            </w:r>
            <w:r w:rsidRPr="00B4340C">
              <w:rPr>
                <w:rFonts w:ascii="Arial" w:hAnsi="Arial" w:cs="Arial"/>
                <w:i/>
              </w:rPr>
              <w:t xml:space="preserve">EUI-Pension Reserve Fund, </w:t>
            </w:r>
            <w:r w:rsidRPr="00B4340C">
              <w:rPr>
                <w:rFonts w:ascii="Arial" w:hAnsi="Arial" w:cs="Arial"/>
              </w:rPr>
              <w:t>according the EUI Financial Rules and to the International Standards of Auditing (ISA)</w:t>
            </w:r>
          </w:p>
          <w:p w14:paraId="6DF97332" w14:textId="0C0A7341" w:rsidR="000D7F74" w:rsidRPr="00B4340C" w:rsidRDefault="000D7F74" w:rsidP="00F3421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/>
              <w:jc w:val="both"/>
              <w:rPr>
                <w:rFonts w:ascii="Arial" w:hAnsi="Arial" w:cs="Arial"/>
                <w:lang w:val="en-US"/>
              </w:rPr>
            </w:pPr>
            <w:r w:rsidRPr="00B4340C">
              <w:rPr>
                <w:rFonts w:ascii="Arial" w:hAnsi="Arial" w:cs="Arial"/>
              </w:rPr>
              <w:t xml:space="preserve">Performing a financial audit to issue an audit opinion on the </w:t>
            </w:r>
            <w:r w:rsidRPr="00B4340C">
              <w:rPr>
                <w:rFonts w:ascii="Arial" w:hAnsi="Arial" w:cs="Arial"/>
                <w:i/>
                <w:lang w:val="en-US"/>
              </w:rPr>
              <w:t>EUI-Consolidated</w:t>
            </w:r>
            <w:r w:rsidRPr="00B4340C">
              <w:rPr>
                <w:rFonts w:ascii="Arial" w:hAnsi="Arial" w:cs="Arial"/>
                <w:lang w:val="en-US"/>
              </w:rPr>
              <w:t xml:space="preserve"> (A1 + A2)</w:t>
            </w:r>
          </w:p>
          <w:p w14:paraId="6DFC2D03" w14:textId="732F05AB" w:rsidR="000D7F74" w:rsidRPr="00B4340C" w:rsidRDefault="000D7F74" w:rsidP="000D7F7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E57C758" w14:textId="77777777" w:rsidR="00661E21" w:rsidRPr="00B4340C" w:rsidRDefault="00661E21" w:rsidP="009679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Unit of measure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08877388" w14:textId="77777777" w:rsidR="00661E21" w:rsidRPr="00B4340C" w:rsidRDefault="00661E21" w:rsidP="009679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Value</w:t>
            </w:r>
          </w:p>
        </w:tc>
      </w:tr>
      <w:tr w:rsidR="00661E21" w:rsidRPr="00B4340C" w14:paraId="11A5E9BC" w14:textId="77777777" w:rsidTr="00661E21">
        <w:trPr>
          <w:trHeight w:val="258"/>
          <w:jc w:val="center"/>
        </w:trPr>
        <w:tc>
          <w:tcPr>
            <w:tcW w:w="4150" w:type="pct"/>
            <w:shd w:val="clear" w:color="auto" w:fill="auto"/>
            <w:noWrap/>
            <w:vAlign w:val="center"/>
          </w:tcPr>
          <w:p w14:paraId="10E5B604" w14:textId="1F2A80E6" w:rsidR="00661E21" w:rsidRPr="00B4340C" w:rsidRDefault="00661E21" w:rsidP="009679A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it-IT" w:bidi="ar-SA"/>
              </w:rPr>
            </w:pPr>
            <w:r w:rsidRPr="00B4340C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it-IT" w:bidi="ar-SA"/>
              </w:rPr>
              <w:t>PRICE OFFERED FOR 1 YEAR OF EXTERNAL AUDIT SERVICES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78478A4" w14:textId="474127B8" w:rsidR="00661E21" w:rsidRPr="00B4340C" w:rsidRDefault="00F3421B" w:rsidP="009679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EUR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0150678" w14:textId="77777777" w:rsidR="00661E21" w:rsidRPr="00B4340C" w:rsidRDefault="00661E21" w:rsidP="009679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€_____</w:t>
            </w:r>
          </w:p>
        </w:tc>
      </w:tr>
    </w:tbl>
    <w:p w14:paraId="7B60C2B2" w14:textId="10B157EC" w:rsidR="00661E21" w:rsidRPr="00B4340C" w:rsidRDefault="00661E21" w:rsidP="00BA660F">
      <w:pPr>
        <w:ind w:left="530" w:right="533" w:hanging="1"/>
        <w:jc w:val="center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1"/>
        <w:gridCol w:w="995"/>
        <w:gridCol w:w="884"/>
      </w:tblGrid>
      <w:tr w:rsidR="00791EF2" w:rsidRPr="00B4340C" w14:paraId="17367A82" w14:textId="77777777" w:rsidTr="00661E21">
        <w:trPr>
          <w:trHeight w:val="470"/>
          <w:jc w:val="center"/>
        </w:trPr>
        <w:tc>
          <w:tcPr>
            <w:tcW w:w="4150" w:type="pct"/>
            <w:shd w:val="clear" w:color="auto" w:fill="auto"/>
            <w:vAlign w:val="center"/>
            <w:hideMark/>
          </w:tcPr>
          <w:p w14:paraId="54955D91" w14:textId="77777777" w:rsidR="000D7F74" w:rsidRPr="00B4340C" w:rsidRDefault="000D7F74" w:rsidP="0068397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</w:pPr>
          </w:p>
          <w:p w14:paraId="51C2D3D9" w14:textId="77777777" w:rsidR="000D7F74" w:rsidRPr="00B4340C" w:rsidRDefault="00683974" w:rsidP="0068397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</w:pPr>
            <w:r w:rsidRPr="00B434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  <w:t xml:space="preserve">Price </w:t>
            </w:r>
            <w:r w:rsidR="00661E21" w:rsidRPr="00B434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  <w:t>B</w:t>
            </w:r>
            <w:r w:rsidRPr="00B434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  <w:t xml:space="preserve">: </w:t>
            </w:r>
          </w:p>
          <w:p w14:paraId="1C79DF70" w14:textId="430A2DF0" w:rsidR="00791EF2" w:rsidRPr="00B4340C" w:rsidRDefault="000D7F74" w:rsidP="00683974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</w:t>
            </w:r>
            <w:r w:rsidR="00683974" w:rsidRPr="00B4340C">
              <w:rPr>
                <w:rFonts w:ascii="Arial" w:eastAsia="MS Mincho" w:hAnsi="Arial" w:cs="Arial"/>
                <w:color w:val="000000"/>
              </w:rPr>
              <w:t xml:space="preserve">elivering </w:t>
            </w:r>
            <w:r w:rsidR="00B86E2E" w:rsidRPr="00B4340C">
              <w:rPr>
                <w:rFonts w:ascii="Arial" w:hAnsi="Arial" w:cs="Arial"/>
              </w:rPr>
              <w:t>a yearly report on Factual Findings demonstrating</w:t>
            </w:r>
            <w:r w:rsidR="00683974" w:rsidRPr="00B4340C">
              <w:rPr>
                <w:rFonts w:ascii="Arial" w:hAnsi="Arial" w:cs="Arial"/>
              </w:rPr>
              <w:t xml:space="preserve"> that the expenditure claimed by the EUI in the Final Activity Report </w:t>
            </w:r>
            <w:r w:rsidRPr="00B4340C">
              <w:rPr>
                <w:rFonts w:ascii="Arial" w:hAnsi="Arial" w:cs="Arial"/>
              </w:rPr>
              <w:t xml:space="preserve">and correspondent statements in the Annual Accounts has occurred, is accurate and eligible and in compliance with the yearly grant agreement of the European Commission (“Operating Grant Agreement”, OGA) </w:t>
            </w:r>
            <w:r w:rsidR="00683974" w:rsidRPr="00B4340C">
              <w:rPr>
                <w:rFonts w:ascii="Arial" w:hAnsi="Arial" w:cs="Arial"/>
              </w:rPr>
              <w:t>of the EU Commission</w:t>
            </w:r>
          </w:p>
          <w:p w14:paraId="112FF29D" w14:textId="0D1FEAA8" w:rsidR="000D7F74" w:rsidRPr="00B4340C" w:rsidRDefault="000D7F74" w:rsidP="0068397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77B2781" w14:textId="77777777" w:rsidR="00791EF2" w:rsidRPr="00B4340C" w:rsidRDefault="00791EF2" w:rsidP="00BA66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Unit of measure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4AA78217" w14:textId="77777777" w:rsidR="00791EF2" w:rsidRPr="00B4340C" w:rsidRDefault="00791EF2" w:rsidP="00BA66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Value</w:t>
            </w:r>
          </w:p>
        </w:tc>
      </w:tr>
      <w:tr w:rsidR="00791EF2" w:rsidRPr="00B4340C" w14:paraId="1520F101" w14:textId="77777777" w:rsidTr="00661E21">
        <w:trPr>
          <w:trHeight w:val="258"/>
          <w:jc w:val="center"/>
        </w:trPr>
        <w:tc>
          <w:tcPr>
            <w:tcW w:w="4150" w:type="pct"/>
            <w:shd w:val="clear" w:color="auto" w:fill="auto"/>
            <w:noWrap/>
            <w:vAlign w:val="center"/>
          </w:tcPr>
          <w:p w14:paraId="4C83AB08" w14:textId="0DF04272" w:rsidR="00791EF2" w:rsidRPr="00B4340C" w:rsidRDefault="00791EF2" w:rsidP="008B5CA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it-IT" w:bidi="ar-SA"/>
              </w:rPr>
            </w:pPr>
            <w:r w:rsidRPr="00B4340C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it-IT" w:bidi="ar-SA"/>
              </w:rPr>
              <w:t>PRICE OFFERED FOR 1 YEAR OF EXTERNAL AUDIT SERVICES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2453D80" w14:textId="4692A760" w:rsidR="00791EF2" w:rsidRPr="00B4340C" w:rsidRDefault="00F3421B" w:rsidP="00BA66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EUR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5555168" w14:textId="0DEB4028" w:rsidR="00791EF2" w:rsidRPr="00B4340C" w:rsidRDefault="008B5CAD" w:rsidP="008B5C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B4340C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€_____</w:t>
            </w:r>
          </w:p>
        </w:tc>
      </w:tr>
    </w:tbl>
    <w:p w14:paraId="54497F10" w14:textId="77777777" w:rsidR="000D7F74" w:rsidRPr="00B4340C" w:rsidRDefault="000D7F74" w:rsidP="00706E68">
      <w:pPr>
        <w:ind w:left="518" w:firstLine="720"/>
        <w:rPr>
          <w:rFonts w:ascii="Arial" w:hAnsi="Arial" w:cs="Arial"/>
        </w:rPr>
      </w:pPr>
    </w:p>
    <w:p w14:paraId="6FABFC86" w14:textId="77777777" w:rsidR="00075B4C" w:rsidRPr="00B4340C" w:rsidRDefault="0017222D">
      <w:pPr>
        <w:pStyle w:val="Heading2"/>
        <w:tabs>
          <w:tab w:val="left" w:pos="6955"/>
        </w:tabs>
        <w:rPr>
          <w:rFonts w:ascii="Arial" w:hAnsi="Arial" w:cs="Arial"/>
        </w:rPr>
      </w:pPr>
      <w:r w:rsidRPr="00B4340C">
        <w:rPr>
          <w:rFonts w:ascii="Arial" w:hAnsi="Arial" w:cs="Arial"/>
        </w:rPr>
        <w:t>Place and</w:t>
      </w:r>
      <w:r w:rsidRPr="00B4340C">
        <w:rPr>
          <w:rFonts w:ascii="Arial" w:hAnsi="Arial" w:cs="Arial"/>
          <w:spacing w:val="-3"/>
        </w:rPr>
        <w:t xml:space="preserve"> </w:t>
      </w:r>
      <w:r w:rsidRPr="00B4340C">
        <w:rPr>
          <w:rFonts w:ascii="Arial" w:hAnsi="Arial" w:cs="Arial"/>
        </w:rPr>
        <w:t>date</w:t>
      </w:r>
      <w:r w:rsidRPr="00B4340C">
        <w:rPr>
          <w:rFonts w:ascii="Arial" w:hAnsi="Arial" w:cs="Arial"/>
          <w:spacing w:val="2"/>
        </w:rPr>
        <w:t xml:space="preserve"> </w:t>
      </w:r>
      <w:r w:rsidRPr="00B4340C">
        <w:rPr>
          <w:rFonts w:ascii="Arial" w:hAnsi="Arial" w:cs="Arial"/>
          <w:u w:val="single"/>
        </w:rPr>
        <w:t xml:space="preserve"> </w:t>
      </w:r>
      <w:r w:rsidRPr="00B4340C">
        <w:rPr>
          <w:rFonts w:ascii="Arial" w:hAnsi="Arial" w:cs="Arial"/>
          <w:u w:val="single"/>
        </w:rPr>
        <w:tab/>
      </w:r>
    </w:p>
    <w:p w14:paraId="34038310" w14:textId="77777777" w:rsidR="00075B4C" w:rsidRPr="00B4340C" w:rsidRDefault="00075B4C">
      <w:pPr>
        <w:rPr>
          <w:rFonts w:ascii="Arial" w:hAnsi="Arial" w:cs="Arial"/>
          <w:sz w:val="20"/>
        </w:rPr>
      </w:pPr>
    </w:p>
    <w:p w14:paraId="5B9CF7B4" w14:textId="77777777" w:rsidR="00075B4C" w:rsidRPr="00B4340C" w:rsidRDefault="0017222D">
      <w:pPr>
        <w:tabs>
          <w:tab w:val="left" w:pos="10106"/>
        </w:tabs>
        <w:spacing w:before="52"/>
        <w:ind w:left="518"/>
        <w:rPr>
          <w:rFonts w:ascii="Arial" w:hAnsi="Arial" w:cs="Arial"/>
          <w:sz w:val="24"/>
        </w:rPr>
      </w:pPr>
      <w:r w:rsidRPr="00B4340C">
        <w:rPr>
          <w:rFonts w:ascii="Arial" w:hAnsi="Arial" w:cs="Arial"/>
          <w:sz w:val="24"/>
        </w:rPr>
        <w:t>Signature of Legal</w:t>
      </w:r>
      <w:r w:rsidRPr="00B4340C">
        <w:rPr>
          <w:rFonts w:ascii="Arial" w:hAnsi="Arial" w:cs="Arial"/>
          <w:spacing w:val="-14"/>
          <w:sz w:val="24"/>
        </w:rPr>
        <w:t xml:space="preserve"> </w:t>
      </w:r>
      <w:r w:rsidRPr="00B4340C">
        <w:rPr>
          <w:rFonts w:ascii="Arial" w:hAnsi="Arial" w:cs="Arial"/>
          <w:sz w:val="24"/>
        </w:rPr>
        <w:t xml:space="preserve">Representative </w:t>
      </w:r>
      <w:r w:rsidRPr="00B4340C">
        <w:rPr>
          <w:rFonts w:ascii="Arial" w:hAnsi="Arial" w:cs="Arial"/>
          <w:sz w:val="24"/>
          <w:u w:val="single"/>
        </w:rPr>
        <w:t xml:space="preserve"> </w:t>
      </w:r>
      <w:r w:rsidRPr="00B4340C">
        <w:rPr>
          <w:rFonts w:ascii="Arial" w:hAnsi="Arial" w:cs="Arial"/>
          <w:sz w:val="24"/>
          <w:u w:val="single"/>
        </w:rPr>
        <w:tab/>
      </w:r>
    </w:p>
    <w:p w14:paraId="7F83108B" w14:textId="77777777" w:rsidR="00075B4C" w:rsidRPr="00B4340C" w:rsidRDefault="00075B4C">
      <w:pPr>
        <w:spacing w:before="2"/>
        <w:rPr>
          <w:rFonts w:ascii="Arial" w:hAnsi="Arial" w:cs="Arial"/>
          <w:sz w:val="19"/>
        </w:rPr>
      </w:pPr>
    </w:p>
    <w:p w14:paraId="621EB0D6" w14:textId="77777777" w:rsidR="00075B4C" w:rsidRPr="00B4340C" w:rsidRDefault="0017222D">
      <w:pPr>
        <w:pStyle w:val="BodyText"/>
        <w:spacing w:before="57"/>
        <w:ind w:left="518"/>
        <w:rPr>
          <w:rFonts w:ascii="Arial" w:hAnsi="Arial" w:cs="Arial"/>
          <w:sz w:val="18"/>
          <w:szCs w:val="18"/>
        </w:rPr>
      </w:pPr>
      <w:r w:rsidRPr="00B4340C">
        <w:rPr>
          <w:rFonts w:ascii="Arial" w:hAnsi="Arial" w:cs="Arial"/>
          <w:sz w:val="18"/>
          <w:szCs w:val="18"/>
        </w:rPr>
        <w:t>Attached to this declaration is an unauthenticated photocopy of a valid ID document of the signatory.</w:t>
      </w:r>
    </w:p>
    <w:sectPr w:rsidR="00075B4C" w:rsidRPr="00B4340C" w:rsidSect="00541D7F">
      <w:headerReference w:type="default" r:id="rId7"/>
      <w:footerReference w:type="default" r:id="rId8"/>
      <w:pgSz w:w="12240" w:h="15840"/>
      <w:pgMar w:top="1560" w:right="660" w:bottom="810" w:left="900" w:header="555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10EE" w14:textId="77777777" w:rsidR="008F2F08" w:rsidRDefault="008F2F08">
      <w:r>
        <w:separator/>
      </w:r>
    </w:p>
  </w:endnote>
  <w:endnote w:type="continuationSeparator" w:id="0">
    <w:p w14:paraId="5AC9FABB" w14:textId="77777777" w:rsidR="008F2F08" w:rsidRDefault="008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18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FF7E89" w14:textId="33C4BC61" w:rsidR="008F2F08" w:rsidRDefault="008F2F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E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E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6323F" w14:textId="77777777" w:rsidR="008F2F08" w:rsidRDefault="008F2F08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2E3D3" w14:textId="77777777" w:rsidR="008F2F08" w:rsidRDefault="008F2F08">
      <w:r>
        <w:separator/>
      </w:r>
    </w:p>
  </w:footnote>
  <w:footnote w:type="continuationSeparator" w:id="0">
    <w:p w14:paraId="598C75D5" w14:textId="77777777" w:rsidR="008F2F08" w:rsidRDefault="008F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70CFC" w14:textId="1DFA2F37" w:rsidR="008F2F08" w:rsidRDefault="000D7F74" w:rsidP="00541D7F">
    <w:pPr>
      <w:spacing w:before="1"/>
      <w:ind w:right="21"/>
      <w:jc w:val="right"/>
      <w:rPr>
        <w:rFonts w:asciiTheme="minorHAnsi" w:hAnsiTheme="minorHAnsi"/>
        <w:i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44C66FE8" wp14:editId="0E257EBB">
          <wp:simplePos x="0" y="0"/>
          <wp:positionH relativeFrom="column">
            <wp:posOffset>36000</wp:posOffset>
          </wp:positionH>
          <wp:positionV relativeFrom="paragraph">
            <wp:posOffset>5350</wp:posOffset>
          </wp:positionV>
          <wp:extent cx="1511935" cy="430530"/>
          <wp:effectExtent l="0" t="0" r="0" b="7620"/>
          <wp:wrapTight wrapText="bothSides">
            <wp:wrapPolygon edited="0">
              <wp:start x="816" y="0"/>
              <wp:lineTo x="0" y="2867"/>
              <wp:lineTo x="0" y="21027"/>
              <wp:lineTo x="19867" y="21027"/>
              <wp:lineTo x="20956" y="15292"/>
              <wp:lineTo x="20412" y="3823"/>
              <wp:lineTo x="4082" y="0"/>
              <wp:lineTo x="816" y="0"/>
            </wp:wrapPolygon>
          </wp:wrapTight>
          <wp:docPr id="2" name="Imagen 2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A084B" w14:textId="67AE1F78" w:rsidR="008F2F08" w:rsidRPr="00541D7F" w:rsidRDefault="008F2F08" w:rsidP="00541D7F">
    <w:pPr>
      <w:spacing w:before="1"/>
      <w:ind w:right="21"/>
      <w:jc w:val="center"/>
      <w:rPr>
        <w:i/>
        <w:sz w:val="20"/>
      </w:rPr>
    </w:pPr>
    <w:r w:rsidRPr="00541D7F">
      <w:rPr>
        <w:rFonts w:asciiTheme="minorHAnsi" w:hAnsiTheme="minorHAnsi"/>
        <w:i/>
      </w:rPr>
      <w:t>Tenderer name:___________________</w:t>
    </w:r>
    <w:r>
      <w:rPr>
        <w:rFonts w:asciiTheme="minorHAnsi" w:hAnsiTheme="minorHAnsi"/>
        <w:i/>
      </w:rPr>
      <w:t xml:space="preserve"> </w:t>
    </w:r>
    <w:r w:rsidRPr="00541D7F">
      <w:rPr>
        <w:rFonts w:asciiTheme="minorHAnsi" w:hAnsiTheme="minorHAnsi"/>
        <w:i/>
      </w:rPr>
      <w:t>Annex II B – Economic Offer form</w:t>
    </w:r>
  </w:p>
  <w:p w14:paraId="1ABD230E" w14:textId="77777777" w:rsidR="008F2F08" w:rsidRDefault="008F2F08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ABD"/>
    <w:multiLevelType w:val="hybridMultilevel"/>
    <w:tmpl w:val="3208D9FE"/>
    <w:lvl w:ilvl="0" w:tplc="4F46B9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1F00"/>
    <w:multiLevelType w:val="hybridMultilevel"/>
    <w:tmpl w:val="F864953E"/>
    <w:lvl w:ilvl="0" w:tplc="FBAE04C4">
      <w:start w:val="1"/>
      <w:numFmt w:val="decimal"/>
      <w:lvlText w:val="%1."/>
      <w:lvlJc w:val="left"/>
      <w:pPr>
        <w:ind w:left="12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28640E74">
      <w:numFmt w:val="bullet"/>
      <w:lvlText w:val="•"/>
      <w:lvlJc w:val="left"/>
      <w:pPr>
        <w:ind w:left="2184" w:hanging="356"/>
      </w:pPr>
      <w:rPr>
        <w:rFonts w:hint="default"/>
        <w:lang w:val="en-GB" w:eastAsia="en-GB" w:bidi="en-GB"/>
      </w:rPr>
    </w:lvl>
    <w:lvl w:ilvl="2" w:tplc="F9FA9864">
      <w:numFmt w:val="bullet"/>
      <w:lvlText w:val="•"/>
      <w:lvlJc w:val="left"/>
      <w:pPr>
        <w:ind w:left="3128" w:hanging="356"/>
      </w:pPr>
      <w:rPr>
        <w:rFonts w:hint="default"/>
        <w:lang w:val="en-GB" w:eastAsia="en-GB" w:bidi="en-GB"/>
      </w:rPr>
    </w:lvl>
    <w:lvl w:ilvl="3" w:tplc="DF5A2818">
      <w:numFmt w:val="bullet"/>
      <w:lvlText w:val="•"/>
      <w:lvlJc w:val="left"/>
      <w:pPr>
        <w:ind w:left="4072" w:hanging="356"/>
      </w:pPr>
      <w:rPr>
        <w:rFonts w:hint="default"/>
        <w:lang w:val="en-GB" w:eastAsia="en-GB" w:bidi="en-GB"/>
      </w:rPr>
    </w:lvl>
    <w:lvl w:ilvl="4" w:tplc="93DC0C3A">
      <w:numFmt w:val="bullet"/>
      <w:lvlText w:val="•"/>
      <w:lvlJc w:val="left"/>
      <w:pPr>
        <w:ind w:left="5016" w:hanging="356"/>
      </w:pPr>
      <w:rPr>
        <w:rFonts w:hint="default"/>
        <w:lang w:val="en-GB" w:eastAsia="en-GB" w:bidi="en-GB"/>
      </w:rPr>
    </w:lvl>
    <w:lvl w:ilvl="5" w:tplc="54CEEDAC">
      <w:numFmt w:val="bullet"/>
      <w:lvlText w:val="•"/>
      <w:lvlJc w:val="left"/>
      <w:pPr>
        <w:ind w:left="5960" w:hanging="356"/>
      </w:pPr>
      <w:rPr>
        <w:rFonts w:hint="default"/>
        <w:lang w:val="en-GB" w:eastAsia="en-GB" w:bidi="en-GB"/>
      </w:rPr>
    </w:lvl>
    <w:lvl w:ilvl="6" w:tplc="7FDA4D56">
      <w:numFmt w:val="bullet"/>
      <w:lvlText w:val="•"/>
      <w:lvlJc w:val="left"/>
      <w:pPr>
        <w:ind w:left="6904" w:hanging="356"/>
      </w:pPr>
      <w:rPr>
        <w:rFonts w:hint="default"/>
        <w:lang w:val="en-GB" w:eastAsia="en-GB" w:bidi="en-GB"/>
      </w:rPr>
    </w:lvl>
    <w:lvl w:ilvl="7" w:tplc="5DA87FA0">
      <w:numFmt w:val="bullet"/>
      <w:lvlText w:val="•"/>
      <w:lvlJc w:val="left"/>
      <w:pPr>
        <w:ind w:left="7848" w:hanging="356"/>
      </w:pPr>
      <w:rPr>
        <w:rFonts w:hint="default"/>
        <w:lang w:val="en-GB" w:eastAsia="en-GB" w:bidi="en-GB"/>
      </w:rPr>
    </w:lvl>
    <w:lvl w:ilvl="8" w:tplc="B4407BA2">
      <w:numFmt w:val="bullet"/>
      <w:lvlText w:val="•"/>
      <w:lvlJc w:val="left"/>
      <w:pPr>
        <w:ind w:left="8792" w:hanging="356"/>
      </w:pPr>
      <w:rPr>
        <w:rFonts w:hint="default"/>
        <w:lang w:val="en-GB" w:eastAsia="en-GB" w:bidi="en-GB"/>
      </w:rPr>
    </w:lvl>
  </w:abstractNum>
  <w:abstractNum w:abstractNumId="2" w15:restartNumberingAfterBreak="0">
    <w:nsid w:val="28905E26"/>
    <w:multiLevelType w:val="hybridMultilevel"/>
    <w:tmpl w:val="39EA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857D1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301963FD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71661D3F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4C"/>
    <w:rsid w:val="0003738F"/>
    <w:rsid w:val="00075B4C"/>
    <w:rsid w:val="000D0BC1"/>
    <w:rsid w:val="000D7F74"/>
    <w:rsid w:val="00104EF2"/>
    <w:rsid w:val="0017222D"/>
    <w:rsid w:val="00287FC0"/>
    <w:rsid w:val="002B421E"/>
    <w:rsid w:val="003238C4"/>
    <w:rsid w:val="003B2038"/>
    <w:rsid w:val="00473A51"/>
    <w:rsid w:val="00541D7F"/>
    <w:rsid w:val="00560738"/>
    <w:rsid w:val="00567D46"/>
    <w:rsid w:val="00574113"/>
    <w:rsid w:val="005E2F18"/>
    <w:rsid w:val="0061596F"/>
    <w:rsid w:val="00616966"/>
    <w:rsid w:val="006246BB"/>
    <w:rsid w:val="00661E21"/>
    <w:rsid w:val="00683974"/>
    <w:rsid w:val="006A5688"/>
    <w:rsid w:val="00706E68"/>
    <w:rsid w:val="0074765B"/>
    <w:rsid w:val="00747985"/>
    <w:rsid w:val="00750A03"/>
    <w:rsid w:val="00791EF2"/>
    <w:rsid w:val="007B2391"/>
    <w:rsid w:val="00890AE5"/>
    <w:rsid w:val="008A21FF"/>
    <w:rsid w:val="008B5CAD"/>
    <w:rsid w:val="008D58BF"/>
    <w:rsid w:val="008F2F08"/>
    <w:rsid w:val="008F4962"/>
    <w:rsid w:val="008F5BB6"/>
    <w:rsid w:val="00910541"/>
    <w:rsid w:val="00926941"/>
    <w:rsid w:val="009844CB"/>
    <w:rsid w:val="00AA5F94"/>
    <w:rsid w:val="00B4340C"/>
    <w:rsid w:val="00B86E2E"/>
    <w:rsid w:val="00BA660F"/>
    <w:rsid w:val="00C64458"/>
    <w:rsid w:val="00CE2671"/>
    <w:rsid w:val="00E026B5"/>
    <w:rsid w:val="00E36641"/>
    <w:rsid w:val="00F3421B"/>
    <w:rsid w:val="00FB191F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81C4C5B"/>
  <w15:docId w15:val="{2C3D8835-3B7D-4DEF-9F15-14E8937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936" w:right="9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2"/>
      <w:ind w:left="51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2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customStyle="1" w:styleId="Default">
    <w:name w:val="Default"/>
    <w:rsid w:val="00FF79F8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E5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5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F94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F94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Rainò, Giovanna</cp:lastModifiedBy>
  <cp:revision>5</cp:revision>
  <dcterms:created xsi:type="dcterms:W3CDTF">2021-08-05T14:08:00Z</dcterms:created>
  <dcterms:modified xsi:type="dcterms:W3CDTF">2021-08-06T08:47:00Z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2020-02-11T00:00:00Z</vt:filetime>
  </property>
</Properties>
</file>