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15BF6" w14:textId="77777777" w:rsidR="00C70F9F" w:rsidRPr="00257908" w:rsidRDefault="008B005F" w:rsidP="00C91C61">
      <w:pPr>
        <w:spacing w:before="120" w:after="240"/>
        <w:jc w:val="center"/>
        <w:rPr>
          <w:rFonts w:ascii="Arial" w:hAnsi="Arial" w:cs="Arial"/>
          <w:b/>
          <w:bCs/>
          <w:color w:val="004676"/>
          <w:sz w:val="36"/>
          <w:szCs w:val="36"/>
          <w:lang w:val="en-GB"/>
        </w:rPr>
      </w:pPr>
      <w:r w:rsidRPr="00257908">
        <w:rPr>
          <w:rFonts w:ascii="Arial" w:hAnsi="Arial" w:cs="Arial"/>
          <w:b/>
          <w:bCs/>
          <w:color w:val="004676"/>
          <w:sz w:val="36"/>
          <w:szCs w:val="36"/>
          <w:lang w:val="en-GB"/>
        </w:rPr>
        <w:t>DECLARATION ON HONOUR ON EXCLUSION CRITERIA AND SELECTION CRITERIA</w:t>
      </w:r>
    </w:p>
    <w:p w14:paraId="0FD1EB86" w14:textId="7FD655F7" w:rsidR="008B005F" w:rsidRPr="00473398" w:rsidRDefault="00473398" w:rsidP="00473398">
      <w:pPr>
        <w:spacing w:before="120" w:after="240"/>
        <w:jc w:val="center"/>
        <w:rPr>
          <w:rFonts w:ascii="Arial" w:hAnsi="Arial" w:cs="Arial"/>
          <w:b/>
          <w:bCs/>
          <w:color w:val="004676"/>
          <w:sz w:val="32"/>
          <w:szCs w:val="32"/>
          <w:lang w:val="en-GB"/>
        </w:rPr>
      </w:pPr>
      <w:r w:rsidRPr="00473398">
        <w:rPr>
          <w:rFonts w:ascii="Arial" w:hAnsi="Arial" w:cs="Arial"/>
          <w:b/>
          <w:bCs/>
          <w:color w:val="004676"/>
          <w:sz w:val="32"/>
          <w:szCs w:val="32"/>
          <w:lang w:val="en-GB"/>
        </w:rPr>
        <w:t>Open procedure for the concession of the management of the Housing Service of the European University Institute</w:t>
      </w:r>
    </w:p>
    <w:p w14:paraId="0345309A" w14:textId="64242153" w:rsidR="0040717F" w:rsidRPr="009147E5" w:rsidRDefault="00FA1B29" w:rsidP="00C91C61">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473398" w:rsidRPr="00473398">
        <w:rPr>
          <w:rFonts w:ascii="Arial" w:hAnsi="Arial" w:cs="Arial"/>
          <w:b/>
          <w:bCs/>
          <w:iCs/>
          <w:color w:val="000000"/>
          <w:lang w:val="en-GB"/>
        </w:rPr>
        <w:t>OP/EUI/REFS/2024/003</w:t>
      </w:r>
    </w:p>
    <w:p w14:paraId="10662AE9" w14:textId="77777777" w:rsidR="008B005F" w:rsidRPr="00812420" w:rsidRDefault="008B005F" w:rsidP="00812420">
      <w:pPr>
        <w:spacing w:before="120" w:after="120"/>
        <w:rPr>
          <w:rFonts w:ascii="Arial" w:hAnsi="Arial"/>
          <w:color w:val="000000"/>
          <w:lang w:val="en-GB"/>
        </w:rPr>
      </w:pPr>
    </w:p>
    <w:p w14:paraId="3A88F182"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2A5CFEF"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1E26D726"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53187FAE" w14:textId="77777777" w:rsidR="009147E5" w:rsidRDefault="009147E5" w:rsidP="0040717F">
      <w:pPr>
        <w:spacing w:before="120" w:after="120"/>
        <w:jc w:val="both"/>
        <w:rPr>
          <w:rFonts w:ascii="Arial" w:hAnsi="Arial" w:cs="Arial"/>
          <w:sz w:val="22"/>
          <w:szCs w:val="22"/>
          <w:lang w:val="en-GB"/>
        </w:rPr>
      </w:pPr>
      <w:r>
        <w:rPr>
          <w:rFonts w:ascii="Arial" w:hAnsi="Arial" w:cs="Arial"/>
          <w:sz w:val="22"/>
          <w:szCs w:val="22"/>
          <w:lang w:val="en-GB"/>
        </w:rPr>
        <w:t>email address __________________________________________________________________</w:t>
      </w:r>
    </w:p>
    <w:p w14:paraId="6DE71CDC" w14:textId="77777777" w:rsidR="0040717F" w:rsidRPr="00072E84" w:rsidRDefault="0040717F" w:rsidP="0040717F">
      <w:pPr>
        <w:spacing w:before="120" w:after="120"/>
        <w:jc w:val="both"/>
        <w:rPr>
          <w:rFonts w:ascii="Arial" w:hAnsi="Arial" w:cs="Arial"/>
          <w:sz w:val="22"/>
          <w:szCs w:val="22"/>
          <w:lang w:val="en-GB"/>
        </w:rPr>
      </w:pPr>
    </w:p>
    <w:p w14:paraId="564B1E47" w14:textId="2F706CB2"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representing the following legal person:</w:t>
      </w:r>
    </w:p>
    <w:p w14:paraId="1AD57B7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0AEE2667"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6D43EA4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1805E3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6E41C5A5" w14:textId="77777777" w:rsidR="008B005F" w:rsidRPr="00257908" w:rsidRDefault="008B005F" w:rsidP="00257908">
      <w:pPr>
        <w:numPr>
          <w:ilvl w:val="0"/>
          <w:numId w:val="22"/>
        </w:numPr>
        <w:spacing w:before="360" w:after="120" w:line="360" w:lineRule="auto"/>
        <w:ind w:left="714" w:hanging="357"/>
        <w:jc w:val="center"/>
        <w:rPr>
          <w:rFonts w:ascii="Arial" w:hAnsi="Arial" w:cs="Arial"/>
          <w:b/>
          <w:color w:val="004676"/>
          <w:u w:val="single"/>
        </w:rPr>
      </w:pPr>
      <w:r w:rsidRPr="00257908">
        <w:rPr>
          <w:rFonts w:ascii="Arial" w:hAnsi="Arial" w:cs="Arial"/>
          <w:b/>
          <w:color w:val="004676"/>
          <w:u w:val="single"/>
        </w:rPr>
        <w:t xml:space="preserve">Part I – </w:t>
      </w:r>
      <w:r w:rsidRPr="00257908">
        <w:rPr>
          <w:rFonts w:ascii="Arial" w:hAnsi="Arial" w:cs="Arial"/>
          <w:b/>
          <w:color w:val="004676"/>
          <w:u w:val="single"/>
          <w:lang w:val="en-GB"/>
        </w:rPr>
        <w:t>Exclusion criteria</w:t>
      </w:r>
      <w:r w:rsidRPr="00257908">
        <w:rPr>
          <w:rFonts w:ascii="Arial" w:hAnsi="Arial" w:cs="Arial"/>
          <w:b/>
          <w:color w:val="004676"/>
          <w:u w:val="single"/>
        </w:rPr>
        <w:t>:</w:t>
      </w:r>
    </w:p>
    <w:p w14:paraId="6C483FC1" w14:textId="79149D18" w:rsidR="00C70F9F" w:rsidRPr="00D97A85" w:rsidRDefault="0031251E" w:rsidP="0040717F">
      <w:pPr>
        <w:spacing w:before="120" w:after="120" w:line="360" w:lineRule="auto"/>
        <w:ind w:left="360"/>
        <w:jc w:val="both"/>
        <w:rPr>
          <w:rFonts w:ascii="Arial" w:hAnsi="Arial" w:cs="Arial"/>
          <w:sz w:val="22"/>
          <w:szCs w:val="22"/>
          <w:lang w:val="en-GB"/>
        </w:rPr>
      </w:pPr>
      <w:r w:rsidRPr="00D97A85">
        <w:rPr>
          <w:rFonts w:ascii="Arial" w:hAnsi="Arial" w:cs="Arial"/>
          <w:color w:val="FF0000"/>
          <w:sz w:val="22"/>
          <w:szCs w:val="22"/>
          <w:lang w:val="en-GB"/>
        </w:rPr>
        <w:t xml:space="preserve">In case of joint tender/consortium, </w:t>
      </w:r>
      <w:r w:rsidR="009B17AB" w:rsidRPr="00D97A85">
        <w:rPr>
          <w:rFonts w:ascii="Arial" w:hAnsi="Arial" w:cs="Arial"/>
          <w:color w:val="FF0000"/>
          <w:sz w:val="22"/>
          <w:szCs w:val="22"/>
          <w:lang w:val="en-GB"/>
        </w:rPr>
        <w:t>Part I – Exclusion criteria must be ticked by</w:t>
      </w:r>
      <w:r w:rsidR="00C70F9F" w:rsidRPr="00D97A85">
        <w:rPr>
          <w:rFonts w:ascii="Arial" w:hAnsi="Arial" w:cs="Arial"/>
          <w:color w:val="FF0000"/>
          <w:sz w:val="22"/>
          <w:szCs w:val="22"/>
          <w:lang w:val="en-GB"/>
        </w:rPr>
        <w:t xml:space="preserve"> </w:t>
      </w:r>
      <w:r w:rsidRPr="00D97A85">
        <w:rPr>
          <w:rFonts w:ascii="Arial" w:hAnsi="Arial" w:cs="Arial"/>
          <w:color w:val="FF0000"/>
          <w:sz w:val="22"/>
          <w:szCs w:val="22"/>
          <w:lang w:val="en-GB"/>
        </w:rPr>
        <w:t xml:space="preserve">each </w:t>
      </w:r>
      <w:r w:rsidR="00D50DCB">
        <w:rPr>
          <w:rFonts w:ascii="Arial" w:hAnsi="Arial" w:cs="Arial"/>
          <w:color w:val="FF0000"/>
          <w:sz w:val="22"/>
          <w:szCs w:val="22"/>
          <w:lang w:val="en-GB"/>
        </w:rPr>
        <w:t xml:space="preserve">economic operator participating in </w:t>
      </w:r>
      <w:r w:rsidRPr="00D97A85">
        <w:rPr>
          <w:rFonts w:ascii="Arial" w:hAnsi="Arial" w:cs="Arial"/>
          <w:color w:val="FF0000"/>
          <w:sz w:val="22"/>
          <w:szCs w:val="22"/>
          <w:lang w:val="en-GB"/>
        </w:rPr>
        <w:t xml:space="preserve">the joint tender/consortium </w:t>
      </w:r>
      <w:r w:rsidR="009B17AB" w:rsidRPr="00065F38">
        <w:rPr>
          <w:rFonts w:ascii="Arial" w:hAnsi="Arial" w:cs="Arial"/>
          <w:color w:val="FF0000"/>
          <w:sz w:val="22"/>
          <w:szCs w:val="22"/>
          <w:lang w:val="en-GB"/>
        </w:rPr>
        <w:t>and</w:t>
      </w:r>
      <w:r w:rsidR="009B17AB" w:rsidRPr="00D97A85">
        <w:rPr>
          <w:rFonts w:ascii="Arial" w:hAnsi="Arial" w:cs="Arial"/>
          <w:sz w:val="22"/>
          <w:szCs w:val="22"/>
          <w:lang w:val="en-GB"/>
        </w:rPr>
        <w:t xml:space="preserve"> the present Declaration on Honour must be signed by the legal representative of each </w:t>
      </w:r>
      <w:r w:rsidR="00D50DCB" w:rsidRPr="00D50DCB">
        <w:rPr>
          <w:rFonts w:ascii="Arial" w:hAnsi="Arial" w:cs="Arial"/>
          <w:sz w:val="22"/>
          <w:szCs w:val="22"/>
          <w:lang w:val="en-GB"/>
        </w:rPr>
        <w:t>economic operator participating in</w:t>
      </w:r>
      <w:r w:rsidR="009B17AB" w:rsidRPr="00D97A85">
        <w:rPr>
          <w:rFonts w:ascii="Arial" w:hAnsi="Arial" w:cs="Arial"/>
          <w:sz w:val="22"/>
          <w:szCs w:val="22"/>
          <w:lang w:val="en-GB"/>
        </w:rPr>
        <w:t xml:space="preserve"> the joint tender/consortium and included in the tender (</w:t>
      </w:r>
      <w:r w:rsidR="00C70F9F">
        <w:rPr>
          <w:rFonts w:ascii="Arial" w:hAnsi="Arial" w:cs="Arial"/>
          <w:sz w:val="22"/>
          <w:szCs w:val="22"/>
          <w:lang w:val="en-GB"/>
        </w:rPr>
        <w:t xml:space="preserve">please, use </w:t>
      </w:r>
      <w:r w:rsidR="009B17AB" w:rsidRPr="00D97A85">
        <w:rPr>
          <w:rFonts w:ascii="Arial" w:hAnsi="Arial" w:cs="Arial"/>
          <w:sz w:val="22"/>
          <w:szCs w:val="22"/>
          <w:lang w:val="en-GB"/>
        </w:rPr>
        <w:t>Envelope n.1 – Administrative Documents as indicated at point 3 of the letter of invitation).</w:t>
      </w:r>
    </w:p>
    <w:p w14:paraId="2AC2AFD9" w14:textId="535A3F93"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is not in one of the following situations:</w:t>
      </w:r>
    </w:p>
    <w:p w14:paraId="09E0DE7E"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 </w:t>
      </w:r>
    </w:p>
    <w:p w14:paraId="12C44644"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convicted of an offence concerning grave professional conduct by a final judgment of a competent judicial authority or administrative decision or decisions of international organisations;</w:t>
      </w:r>
    </w:p>
    <w:p w14:paraId="0EC864E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is not in compliance with its obligations relating to the payment of social security contributions or the payment of taxes in accordance with the legal provisions of the country in which it is established or with those of Italy being the country of establishment of the </w:t>
      </w:r>
      <w:r w:rsidR="0053394D">
        <w:rPr>
          <w:rFonts w:ascii="Arial" w:hAnsi="Arial" w:cs="Arial"/>
          <w:sz w:val="22"/>
          <w:szCs w:val="22"/>
          <w:lang w:val="en-GB"/>
        </w:rPr>
        <w:t>European University Institute (</w:t>
      </w:r>
      <w:r w:rsidRPr="00D97A85">
        <w:rPr>
          <w:rFonts w:ascii="Arial" w:hAnsi="Arial" w:cs="Arial"/>
          <w:sz w:val="22"/>
          <w:szCs w:val="22"/>
          <w:lang w:val="en-GB"/>
        </w:rPr>
        <w:t>EUI</w:t>
      </w:r>
      <w:r w:rsidR="0053394D">
        <w:rPr>
          <w:rFonts w:ascii="Arial" w:hAnsi="Arial" w:cs="Arial"/>
          <w:sz w:val="22"/>
          <w:szCs w:val="22"/>
          <w:lang w:val="en-GB"/>
        </w:rPr>
        <w:t>)</w:t>
      </w:r>
      <w:r w:rsidRPr="00D97A85">
        <w:rPr>
          <w:rFonts w:ascii="Arial" w:hAnsi="Arial" w:cs="Arial"/>
          <w:sz w:val="22"/>
          <w:szCs w:val="22"/>
          <w:lang w:val="en-GB"/>
        </w:rPr>
        <w:t xml:space="preserve"> or those of the country where the contract is to be performed. This breach needs to have been established by a judgement or administrative decision having final and binding effect in accordance with the legal provisions of the country in which the economic operator is established or of Italy being the country of establishment of the EUI; </w:t>
      </w:r>
    </w:p>
    <w:p w14:paraId="38D4200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EUI's financial interests; </w:t>
      </w:r>
    </w:p>
    <w:p w14:paraId="3CDE71A8"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in serious breach of a contract financed by the EUI or has been the subject of an offense of serious irregularity established by a final judgment of a competent judicial authority or administrative decision;</w:t>
      </w:r>
    </w:p>
    <w:p w14:paraId="3CBB1931" w14:textId="77777777" w:rsidR="008B005F" w:rsidRPr="00257908" w:rsidRDefault="008B005F"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is subject to an administrative penalty for being guilty for grave professional misconduct, or for having made substantial errors or committed irregularities or fraud, or have been declared to be in breach of their obligations under contracts covered by the EUI’s budget</w:t>
      </w:r>
      <w:r w:rsidR="00EA4627">
        <w:rPr>
          <w:rFonts w:ascii="Arial" w:hAnsi="Arial" w:cs="Arial"/>
          <w:sz w:val="22"/>
          <w:szCs w:val="22"/>
          <w:lang w:val="en-GB"/>
        </w:rPr>
        <w:t xml:space="preserve">, as per </w:t>
      </w:r>
      <w:r w:rsidRPr="00D97A85">
        <w:rPr>
          <w:rFonts w:ascii="Arial" w:hAnsi="Arial" w:cs="Arial"/>
          <w:sz w:val="22"/>
          <w:szCs w:val="22"/>
          <w:lang w:val="en-GB"/>
        </w:rPr>
        <w:t>Article 41 of the EUI’s Public Procurement Regulation (</w:t>
      </w:r>
      <w:hyperlink r:id="rId8" w:history="1">
        <w:r w:rsidRPr="00C91C61">
          <w:rPr>
            <w:rStyle w:val="Hyperlink"/>
            <w:rFonts w:ascii="Arial" w:hAnsi="Arial" w:cs="Arial"/>
            <w:sz w:val="22"/>
            <w:szCs w:val="22"/>
            <w:lang w:val="en-GB"/>
          </w:rPr>
          <w:t xml:space="preserve">President’s Decision </w:t>
        </w:r>
        <w:r w:rsidR="00C91C61">
          <w:rPr>
            <w:rStyle w:val="Hyperlink"/>
            <w:rFonts w:ascii="Arial" w:hAnsi="Arial" w:cs="Arial"/>
            <w:sz w:val="22"/>
            <w:szCs w:val="22"/>
            <w:lang w:val="en-GB"/>
          </w:rPr>
          <w:t>n</w:t>
        </w:r>
        <w:r w:rsidRPr="00C91C61">
          <w:rPr>
            <w:rStyle w:val="Hyperlink"/>
            <w:rFonts w:ascii="Arial" w:hAnsi="Arial" w:cs="Arial"/>
            <w:sz w:val="22"/>
            <w:szCs w:val="22"/>
            <w:lang w:val="en-GB"/>
          </w:rPr>
          <w:t>.</w:t>
        </w:r>
        <w:r w:rsidR="009147E5" w:rsidRPr="00C91C61">
          <w:rPr>
            <w:rStyle w:val="Hyperlink"/>
            <w:rFonts w:ascii="Arial" w:hAnsi="Arial" w:cs="Arial"/>
            <w:sz w:val="22"/>
            <w:szCs w:val="22"/>
            <w:lang w:val="en-GB"/>
          </w:rPr>
          <w:t>76</w:t>
        </w:r>
        <w:r w:rsidRPr="00C91C61">
          <w:rPr>
            <w:rStyle w:val="Hyperlink"/>
            <w:rFonts w:ascii="Arial" w:hAnsi="Arial" w:cs="Arial"/>
            <w:sz w:val="22"/>
            <w:szCs w:val="22"/>
            <w:lang w:val="en-GB"/>
          </w:rPr>
          <w:t>/20</w:t>
        </w:r>
        <w:r w:rsidR="009147E5" w:rsidRPr="00C91C61">
          <w:rPr>
            <w:rStyle w:val="Hyperlink"/>
            <w:rFonts w:ascii="Arial" w:hAnsi="Arial" w:cs="Arial"/>
            <w:sz w:val="22"/>
            <w:szCs w:val="22"/>
            <w:lang w:val="en-GB"/>
          </w:rPr>
          <w:t>23</w:t>
        </w:r>
      </w:hyperlink>
      <w:r w:rsidRPr="00C91C61">
        <w:rPr>
          <w:rFonts w:ascii="Arial" w:hAnsi="Arial" w:cs="Arial"/>
          <w:sz w:val="22"/>
          <w:szCs w:val="22"/>
          <w:lang w:val="en-GB"/>
        </w:rPr>
        <w:t xml:space="preserve"> of </w:t>
      </w:r>
      <w:r w:rsidR="009147E5" w:rsidRPr="00C91C61">
        <w:rPr>
          <w:rFonts w:ascii="Arial" w:hAnsi="Arial" w:cs="Arial"/>
          <w:sz w:val="22"/>
          <w:szCs w:val="22"/>
          <w:lang w:val="en-GB"/>
        </w:rPr>
        <w:t>20</w:t>
      </w:r>
      <w:r w:rsidRPr="00C91C61">
        <w:rPr>
          <w:rFonts w:ascii="Arial" w:hAnsi="Arial" w:cs="Arial"/>
          <w:sz w:val="22"/>
          <w:szCs w:val="22"/>
          <w:vertAlign w:val="superscript"/>
          <w:lang w:val="en-GB"/>
        </w:rPr>
        <w:t>th</w:t>
      </w:r>
      <w:r w:rsidRPr="00C91C61">
        <w:rPr>
          <w:rFonts w:ascii="Arial" w:hAnsi="Arial" w:cs="Arial"/>
          <w:sz w:val="22"/>
          <w:szCs w:val="22"/>
          <w:lang w:val="en-GB"/>
        </w:rPr>
        <w:t xml:space="preserve"> </w:t>
      </w:r>
      <w:r w:rsidR="009147E5" w:rsidRPr="00C91C61">
        <w:rPr>
          <w:rFonts w:ascii="Arial" w:hAnsi="Arial" w:cs="Arial"/>
          <w:sz w:val="22"/>
          <w:szCs w:val="22"/>
          <w:lang w:val="en-GB"/>
        </w:rPr>
        <w:t>December</w:t>
      </w:r>
      <w:r w:rsidRPr="00C91C61">
        <w:rPr>
          <w:rFonts w:ascii="Arial" w:hAnsi="Arial" w:cs="Arial"/>
          <w:sz w:val="22"/>
          <w:szCs w:val="22"/>
          <w:lang w:val="en-GB"/>
        </w:rPr>
        <w:t xml:space="preserve"> 20</w:t>
      </w:r>
      <w:r w:rsidR="009147E5" w:rsidRPr="00C91C61">
        <w:rPr>
          <w:rFonts w:ascii="Arial" w:hAnsi="Arial" w:cs="Arial"/>
          <w:sz w:val="22"/>
          <w:szCs w:val="22"/>
          <w:lang w:val="en-GB"/>
        </w:rPr>
        <w:t>23</w:t>
      </w:r>
      <w:r w:rsidRPr="00D97A85">
        <w:rPr>
          <w:rFonts w:ascii="Arial" w:hAnsi="Arial" w:cs="Arial"/>
          <w:sz w:val="22"/>
          <w:szCs w:val="22"/>
          <w:lang w:val="en-GB"/>
        </w:rPr>
        <w:t xml:space="preserve">). </w:t>
      </w:r>
    </w:p>
    <w:p w14:paraId="70C23A80" w14:textId="77777777" w:rsidR="008B005F" w:rsidRPr="00257908" w:rsidRDefault="008B005F" w:rsidP="008B005F">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natural person(s) who is/are (a) member(s) of the administrative, management or supervisory body of the economic operator or has/have the powers of representation, decision or control is/are not in a situation listed above.</w:t>
      </w:r>
    </w:p>
    <w:p w14:paraId="664B2833" w14:textId="09390997"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w:t>
      </w:r>
      <w:r w:rsidR="009147E5" w:rsidRPr="00257908">
        <w:rPr>
          <w:rFonts w:ascii="Arial" w:hAnsi="Arial" w:cs="Arial"/>
          <w:b/>
          <w:color w:val="004676"/>
          <w:sz w:val="22"/>
          <w:szCs w:val="22"/>
          <w:lang w:val="en-GB"/>
        </w:rPr>
        <w:t xml:space="preserve">that </w:t>
      </w:r>
      <w:r w:rsidRPr="00257908">
        <w:rPr>
          <w:rFonts w:ascii="Arial" w:hAnsi="Arial" w:cs="Arial"/>
          <w:b/>
          <w:color w:val="004676"/>
          <w:sz w:val="22"/>
          <w:szCs w:val="22"/>
          <w:lang w:val="en-GB"/>
        </w:rPr>
        <w:t>the above-mentioned legal person:</w:t>
      </w:r>
    </w:p>
    <w:p w14:paraId="6C52155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 conflict of interest in connection with the contract; a conflict of interest could arise in particular as a result of economic interests, political or national affinity, family, emotional life or any other shared interest, including conflicting professional interests; at present or occurred over the past 5</w:t>
      </w:r>
      <w:r w:rsidR="00BB1899">
        <w:rPr>
          <w:rFonts w:ascii="Arial" w:hAnsi="Arial" w:cs="Arial"/>
          <w:sz w:val="22"/>
          <w:szCs w:val="22"/>
          <w:lang w:val="en-GB"/>
        </w:rPr>
        <w:t xml:space="preserve"> (five)</w:t>
      </w:r>
      <w:r w:rsidRPr="00D97A85">
        <w:rPr>
          <w:rFonts w:ascii="Arial" w:hAnsi="Arial" w:cs="Arial"/>
          <w:sz w:val="22"/>
          <w:szCs w:val="22"/>
          <w:lang w:val="en-GB"/>
        </w:rPr>
        <w:t xml:space="preserve"> years;</w:t>
      </w:r>
    </w:p>
    <w:p w14:paraId="2409FBF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inform EUI, without delay, of any situation considered a conflict of interest or which could give rise to a conflict of interest;</w:t>
      </w:r>
    </w:p>
    <w:p w14:paraId="2E13ACF6"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43DF33BB"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will not undertake to unduly influence the decision-making process of the EUI or obtain confidential information that may confer upon them undue advantages in the procurement procedure; </w:t>
      </w:r>
    </w:p>
    <w:p w14:paraId="64D0690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not undertake to enter into agreements with other candidates and tenderers aimed at distorting competition;</w:t>
      </w:r>
    </w:p>
    <w:p w14:paraId="2A59C7B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not undertake to deliberately provide misleading information that may have a material influence on decisions concerning exclusion, selection or award;</w:t>
      </w:r>
    </w:p>
    <w:p w14:paraId="514FD50E" w14:textId="77777777" w:rsidR="008B005F" w:rsidRPr="0040717F" w:rsidRDefault="008B005F" w:rsidP="0040717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provided accurate, sincere and complete information to EUI within the context of this procurement procedure.</w:t>
      </w:r>
    </w:p>
    <w:p w14:paraId="7EAD538C" w14:textId="6617E4BF" w:rsidR="008B005F" w:rsidRPr="00257908" w:rsidRDefault="008B005F" w:rsidP="00D97A85">
      <w:pPr>
        <w:numPr>
          <w:ilvl w:val="0"/>
          <w:numId w:val="23"/>
        </w:numPr>
        <w:spacing w:before="120" w:after="120" w:line="360" w:lineRule="auto"/>
        <w:jc w:val="both"/>
        <w:rPr>
          <w:rFonts w:ascii="Arial" w:hAnsi="Arial" w:cs="Arial"/>
          <w:color w:val="004676"/>
          <w:sz w:val="22"/>
          <w:szCs w:val="22"/>
          <w:lang w:val="en-GB"/>
        </w:rPr>
      </w:pPr>
      <w:r w:rsidRPr="00257908">
        <w:rPr>
          <w:rFonts w:ascii="Arial" w:hAnsi="Arial" w:cs="Arial"/>
          <w:b/>
          <w:color w:val="004676"/>
          <w:sz w:val="22"/>
          <w:szCs w:val="22"/>
          <w:lang w:val="en-GB"/>
        </w:rPr>
        <w:t xml:space="preserve">acknowledges </w:t>
      </w:r>
      <w:r w:rsidR="009147E5" w:rsidRPr="00257908">
        <w:rPr>
          <w:rFonts w:ascii="Arial" w:hAnsi="Arial" w:cs="Arial"/>
          <w:b/>
          <w:color w:val="004676"/>
          <w:sz w:val="22"/>
          <w:szCs w:val="22"/>
          <w:lang w:val="en-GB"/>
        </w:rPr>
        <w:t>that</w:t>
      </w:r>
      <w:r w:rsidR="009147E5" w:rsidRPr="00257908">
        <w:rPr>
          <w:rFonts w:ascii="Arial" w:hAnsi="Arial" w:cs="Arial"/>
          <w:b/>
          <w:i/>
          <w:color w:val="004676"/>
          <w:sz w:val="22"/>
          <w:szCs w:val="22"/>
          <w:lang w:val="en-GB"/>
        </w:rPr>
        <w:t xml:space="preserve"> </w:t>
      </w:r>
      <w:r w:rsidRPr="00257908">
        <w:rPr>
          <w:rFonts w:ascii="Arial" w:hAnsi="Arial" w:cs="Arial"/>
          <w:b/>
          <w:color w:val="004676"/>
          <w:sz w:val="22"/>
          <w:szCs w:val="22"/>
          <w:lang w:val="en-GB"/>
        </w:rPr>
        <w:t>the above-mentioned legal person may be subject to administrative and financial penalties</w:t>
      </w:r>
      <w:r w:rsidRPr="00257908">
        <w:rPr>
          <w:rFonts w:ascii="Arial" w:hAnsi="Arial" w:cs="Arial"/>
          <w:b/>
          <w:color w:val="004676"/>
          <w:sz w:val="22"/>
          <w:szCs w:val="22"/>
          <w:vertAlign w:val="superscript"/>
          <w:lang w:val="en-GB"/>
        </w:rPr>
        <w:footnoteReference w:id="2"/>
      </w:r>
      <w:r w:rsidRPr="00257908">
        <w:rPr>
          <w:rFonts w:ascii="Arial" w:hAnsi="Arial" w:cs="Arial"/>
          <w:b/>
          <w:color w:val="004676"/>
          <w:sz w:val="22"/>
          <w:szCs w:val="22"/>
          <w:lang w:val="en-GB"/>
        </w:rPr>
        <w:t xml:space="preserve"> if any of the declarations or information provided prove to be false.</w:t>
      </w:r>
    </w:p>
    <w:p w14:paraId="5A6B1D6A" w14:textId="77777777" w:rsidR="008B005F" w:rsidRPr="00D97A85" w:rsidRDefault="008B005F" w:rsidP="00D97A85">
      <w:pPr>
        <w:spacing w:before="120" w:after="120" w:line="360" w:lineRule="auto"/>
        <w:jc w:val="both"/>
        <w:rPr>
          <w:rFonts w:ascii="Arial" w:hAnsi="Arial" w:cs="Arial"/>
          <w:sz w:val="22"/>
          <w:szCs w:val="22"/>
          <w:lang w:val="en-GB"/>
        </w:rPr>
      </w:pPr>
      <w:r w:rsidRPr="00D97A85">
        <w:rPr>
          <w:rFonts w:ascii="Arial" w:hAnsi="Arial" w:cs="Arial"/>
          <w:sz w:val="22"/>
          <w:szCs w:val="22"/>
          <w:lang w:val="en-GB"/>
        </w:rPr>
        <w:t>In case of award of contract, the following evidence shall be provided upon request and within the time limit set by the EUI:</w:t>
      </w:r>
    </w:p>
    <w:p w14:paraId="5A545994"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situations described in (a), (b), (d)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70FD5615"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the situation described in point (c)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41DC633B"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3ED7B529" w14:textId="77777777" w:rsidR="005E3175" w:rsidRPr="00D97A85" w:rsidRDefault="008B005F" w:rsidP="001B65C0">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lastRenderedPageBreak/>
        <w:t xml:space="preserve">If the tenderer is a legal person, information on the natural persons with power of representation, decision making or control in relation to the candidate or tenderer shall be provided only upon request by the EUI. </w:t>
      </w:r>
    </w:p>
    <w:p w14:paraId="744DC0DB" w14:textId="77777777" w:rsidR="000233C2" w:rsidRPr="00257908" w:rsidRDefault="000233C2" w:rsidP="00257908">
      <w:pPr>
        <w:numPr>
          <w:ilvl w:val="0"/>
          <w:numId w:val="27"/>
        </w:numPr>
        <w:spacing w:before="360" w:after="120" w:line="360" w:lineRule="auto"/>
        <w:ind w:left="1077" w:hanging="357"/>
        <w:jc w:val="center"/>
        <w:rPr>
          <w:rFonts w:ascii="Arial" w:hAnsi="Arial" w:cs="Arial"/>
          <w:b/>
          <w:color w:val="004676"/>
          <w:u w:val="single"/>
          <w:lang w:val="en-GB"/>
        </w:rPr>
      </w:pPr>
      <w:r w:rsidRPr="00257908">
        <w:rPr>
          <w:rFonts w:ascii="Arial" w:hAnsi="Arial" w:cs="Arial"/>
          <w:b/>
          <w:color w:val="004676"/>
          <w:u w:val="single"/>
          <w:lang w:val="en-GB"/>
        </w:rPr>
        <w:t>Part II – Selection criteria:</w:t>
      </w:r>
    </w:p>
    <w:p w14:paraId="65EC7F07" w14:textId="305345E0" w:rsidR="000233C2" w:rsidRPr="00C70F9F" w:rsidRDefault="00C70F9F" w:rsidP="0040717F">
      <w:pPr>
        <w:spacing w:before="120" w:after="120" w:line="360" w:lineRule="auto"/>
        <w:ind w:left="360"/>
        <w:jc w:val="both"/>
        <w:rPr>
          <w:rFonts w:ascii="Arial" w:hAnsi="Arial" w:cs="Arial"/>
          <w:sz w:val="22"/>
          <w:szCs w:val="22"/>
          <w:lang w:val="en-GB"/>
        </w:rPr>
      </w:pPr>
      <w:r w:rsidRPr="00C0682E">
        <w:rPr>
          <w:rFonts w:ascii="Arial" w:hAnsi="Arial" w:cs="Arial"/>
          <w:color w:val="FF0000"/>
          <w:sz w:val="22"/>
          <w:szCs w:val="22"/>
          <w:lang w:val="en-GB"/>
        </w:rPr>
        <w:t xml:space="preserve">In case of joint tender/consortium, Part </w:t>
      </w:r>
      <w:r>
        <w:rPr>
          <w:rFonts w:ascii="Arial" w:hAnsi="Arial" w:cs="Arial"/>
          <w:color w:val="FF0000"/>
          <w:sz w:val="22"/>
          <w:szCs w:val="22"/>
          <w:lang w:val="en-GB"/>
        </w:rPr>
        <w:t>II</w:t>
      </w:r>
      <w:r w:rsidRPr="00C0682E">
        <w:rPr>
          <w:rFonts w:ascii="Arial" w:hAnsi="Arial" w:cs="Arial"/>
          <w:color w:val="FF0000"/>
          <w:sz w:val="22"/>
          <w:szCs w:val="22"/>
          <w:lang w:val="en-GB"/>
        </w:rPr>
        <w:t xml:space="preserve"> – </w:t>
      </w:r>
      <w:r>
        <w:rPr>
          <w:rFonts w:ascii="Arial" w:hAnsi="Arial" w:cs="Arial"/>
          <w:color w:val="FF0000"/>
          <w:sz w:val="22"/>
          <w:szCs w:val="22"/>
          <w:lang w:val="en-GB"/>
        </w:rPr>
        <w:t>Selection</w:t>
      </w:r>
      <w:r w:rsidRPr="00C0682E">
        <w:rPr>
          <w:rFonts w:ascii="Arial" w:hAnsi="Arial" w:cs="Arial"/>
          <w:color w:val="FF0000"/>
          <w:sz w:val="22"/>
          <w:szCs w:val="22"/>
          <w:lang w:val="en-GB"/>
        </w:rPr>
        <w:t xml:space="preserve"> criteria must be ticked </w:t>
      </w:r>
      <w:r>
        <w:rPr>
          <w:rFonts w:ascii="Arial" w:hAnsi="Arial" w:cs="Arial"/>
          <w:color w:val="FF0000"/>
          <w:sz w:val="22"/>
          <w:szCs w:val="22"/>
          <w:lang w:val="en-GB"/>
        </w:rPr>
        <w:t xml:space="preserve">ONLY </w:t>
      </w:r>
      <w:r w:rsidRPr="00C0682E">
        <w:rPr>
          <w:rFonts w:ascii="Arial" w:hAnsi="Arial" w:cs="Arial"/>
          <w:color w:val="FF0000"/>
          <w:sz w:val="22"/>
          <w:szCs w:val="22"/>
          <w:lang w:val="en-GB"/>
        </w:rPr>
        <w:t xml:space="preserve">by </w:t>
      </w:r>
      <w:r>
        <w:rPr>
          <w:rFonts w:ascii="Arial" w:hAnsi="Arial" w:cs="Arial"/>
          <w:color w:val="FF0000"/>
          <w:sz w:val="22"/>
          <w:szCs w:val="22"/>
          <w:lang w:val="en-GB"/>
        </w:rPr>
        <w:t>the Group leader</w:t>
      </w:r>
      <w:r w:rsidR="006B69EC">
        <w:rPr>
          <w:rFonts w:ascii="Arial" w:hAnsi="Arial" w:cs="Arial"/>
          <w:color w:val="FF0000"/>
          <w:sz w:val="22"/>
          <w:szCs w:val="22"/>
          <w:lang w:val="en-GB"/>
        </w:rPr>
        <w:t xml:space="preserve"> of the temporary group of companies that submitted a joint tender</w:t>
      </w:r>
      <w:r>
        <w:rPr>
          <w:rFonts w:ascii="Arial" w:hAnsi="Arial" w:cs="Arial"/>
          <w:color w:val="FF0000"/>
          <w:sz w:val="22"/>
          <w:szCs w:val="22"/>
          <w:lang w:val="en-GB"/>
        </w:rPr>
        <w:t xml:space="preserve"> </w:t>
      </w:r>
      <w:r w:rsidRPr="00065F38">
        <w:rPr>
          <w:rFonts w:ascii="Arial" w:hAnsi="Arial" w:cs="Arial"/>
          <w:color w:val="FF0000"/>
          <w:sz w:val="22"/>
          <w:szCs w:val="22"/>
          <w:lang w:val="en-GB"/>
        </w:rPr>
        <w:t>and</w:t>
      </w:r>
      <w:r w:rsidRPr="00C0682E">
        <w:rPr>
          <w:rFonts w:ascii="Arial" w:hAnsi="Arial" w:cs="Arial"/>
          <w:sz w:val="22"/>
          <w:szCs w:val="22"/>
          <w:lang w:val="en-GB"/>
        </w:rPr>
        <w:t xml:space="preserve"> the present Declaration on Honour must be signed </w:t>
      </w:r>
      <w:r>
        <w:rPr>
          <w:rFonts w:ascii="Arial" w:hAnsi="Arial" w:cs="Arial"/>
          <w:sz w:val="22"/>
          <w:szCs w:val="22"/>
          <w:lang w:val="en-GB"/>
        </w:rPr>
        <w:t xml:space="preserve">ONLY </w:t>
      </w:r>
      <w:r w:rsidRPr="00C0682E">
        <w:rPr>
          <w:rFonts w:ascii="Arial" w:hAnsi="Arial" w:cs="Arial"/>
          <w:sz w:val="22"/>
          <w:szCs w:val="22"/>
          <w:lang w:val="en-GB"/>
        </w:rPr>
        <w:t xml:space="preserve">by the legal representative of </w:t>
      </w:r>
      <w:r>
        <w:rPr>
          <w:rFonts w:ascii="Arial" w:hAnsi="Arial" w:cs="Arial"/>
          <w:sz w:val="22"/>
          <w:szCs w:val="22"/>
          <w:lang w:val="en-GB"/>
        </w:rPr>
        <w:t xml:space="preserve">the Group leader </w:t>
      </w:r>
      <w:r w:rsidRPr="00C0682E">
        <w:rPr>
          <w:rFonts w:ascii="Arial" w:hAnsi="Arial" w:cs="Arial"/>
          <w:sz w:val="22"/>
          <w:szCs w:val="22"/>
          <w:lang w:val="en-GB"/>
        </w:rPr>
        <w:t xml:space="preserve">and </w:t>
      </w:r>
      <w:r w:rsidR="00154DC5">
        <w:rPr>
          <w:rFonts w:ascii="Arial" w:hAnsi="Arial" w:cs="Arial"/>
          <w:sz w:val="22"/>
          <w:szCs w:val="22"/>
          <w:lang w:val="en-GB"/>
        </w:rPr>
        <w:t>enclos</w:t>
      </w:r>
      <w:r w:rsidRPr="00C0682E">
        <w:rPr>
          <w:rFonts w:ascii="Arial" w:hAnsi="Arial" w:cs="Arial"/>
          <w:sz w:val="22"/>
          <w:szCs w:val="22"/>
          <w:lang w:val="en-GB"/>
        </w:rPr>
        <w:t xml:space="preserve">ed </w:t>
      </w:r>
      <w:r w:rsidR="00154DC5">
        <w:rPr>
          <w:rFonts w:ascii="Arial" w:hAnsi="Arial" w:cs="Arial"/>
          <w:sz w:val="22"/>
          <w:szCs w:val="22"/>
          <w:lang w:val="en-GB"/>
        </w:rPr>
        <w:t>to</w:t>
      </w:r>
      <w:r w:rsidRPr="00C0682E">
        <w:rPr>
          <w:rFonts w:ascii="Arial" w:hAnsi="Arial" w:cs="Arial"/>
          <w:sz w:val="22"/>
          <w:szCs w:val="22"/>
          <w:lang w:val="en-GB"/>
        </w:rPr>
        <w:t xml:space="preserve"> the tender (</w:t>
      </w:r>
      <w:r>
        <w:rPr>
          <w:rFonts w:ascii="Arial" w:hAnsi="Arial" w:cs="Arial"/>
          <w:sz w:val="22"/>
          <w:szCs w:val="22"/>
          <w:lang w:val="en-GB"/>
        </w:rPr>
        <w:t xml:space="preserve">please, use </w:t>
      </w:r>
      <w:r w:rsidRPr="00C0682E">
        <w:rPr>
          <w:rFonts w:ascii="Arial" w:hAnsi="Arial" w:cs="Arial"/>
          <w:sz w:val="22"/>
          <w:szCs w:val="22"/>
          <w:lang w:val="en-GB"/>
        </w:rPr>
        <w:t xml:space="preserve">Envelope n.1 – Administrative Documents as indicated at point </w:t>
      </w:r>
      <w:r w:rsidR="0040717F">
        <w:rPr>
          <w:rFonts w:ascii="Arial" w:hAnsi="Arial" w:cs="Arial"/>
          <w:sz w:val="22"/>
          <w:szCs w:val="22"/>
          <w:lang w:val="en-GB"/>
        </w:rPr>
        <w:t>3 of the letter of invitation).</w:t>
      </w:r>
    </w:p>
    <w:p w14:paraId="3CD217EB" w14:textId="317FBB61" w:rsidR="000233C2" w:rsidRPr="00257908" w:rsidRDefault="000233C2" w:rsidP="000233C2">
      <w:pPr>
        <w:numPr>
          <w:ilvl w:val="0"/>
          <w:numId w:val="23"/>
        </w:numPr>
        <w:spacing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that the above-mentioned legal person complies with the selection criteria </w:t>
      </w:r>
      <w:r w:rsidR="003A363C" w:rsidRPr="00257908">
        <w:rPr>
          <w:rFonts w:ascii="Arial" w:hAnsi="Arial" w:cs="Arial"/>
          <w:b/>
          <w:color w:val="004676"/>
          <w:sz w:val="22"/>
          <w:szCs w:val="22"/>
          <w:lang w:val="en-GB"/>
        </w:rPr>
        <w:t>foreseen by</w:t>
      </w:r>
      <w:r w:rsidRPr="00257908">
        <w:rPr>
          <w:rFonts w:ascii="Arial" w:hAnsi="Arial" w:cs="Arial"/>
          <w:b/>
          <w:color w:val="004676"/>
          <w:sz w:val="22"/>
          <w:szCs w:val="22"/>
          <w:lang w:val="en-GB"/>
        </w:rPr>
        <w:t xml:space="preserve"> </w:t>
      </w:r>
      <w:r w:rsidR="003A363C" w:rsidRPr="00257908">
        <w:rPr>
          <w:rFonts w:ascii="Arial" w:hAnsi="Arial" w:cs="Arial"/>
          <w:b/>
          <w:color w:val="004676"/>
          <w:sz w:val="22"/>
          <w:szCs w:val="22"/>
          <w:lang w:val="en-GB"/>
        </w:rPr>
        <w:t>the present procurement procedure, as follows</w:t>
      </w:r>
      <w:r w:rsidRPr="00257908">
        <w:rPr>
          <w:rFonts w:ascii="Arial" w:hAnsi="Arial" w:cs="Arial"/>
          <w:b/>
          <w:color w:val="004676"/>
          <w:sz w:val="22"/>
          <w:szCs w:val="22"/>
          <w:lang w:val="en-GB"/>
        </w:rPr>
        <w:t>:</w:t>
      </w:r>
    </w:p>
    <w:p w14:paraId="62EC6D2F" w14:textId="6FF00DCE" w:rsidR="00B1159E" w:rsidRPr="00473398" w:rsidRDefault="00D97A85" w:rsidP="00D97A85">
      <w:pPr>
        <w:numPr>
          <w:ilvl w:val="0"/>
          <w:numId w:val="24"/>
        </w:numPr>
        <w:spacing w:before="120" w:after="120" w:line="360" w:lineRule="auto"/>
        <w:jc w:val="both"/>
        <w:rPr>
          <w:rFonts w:ascii="Arial" w:hAnsi="Arial" w:cs="Arial"/>
          <w:sz w:val="22"/>
          <w:szCs w:val="22"/>
          <w:lang w:val="en-GB"/>
        </w:rPr>
      </w:pPr>
      <w:r w:rsidRPr="00C70F9F">
        <w:rPr>
          <w:rFonts w:ascii="Arial" w:hAnsi="Arial" w:cs="Arial"/>
          <w:sz w:val="22"/>
          <w:szCs w:val="22"/>
          <w:lang w:val="en-GB"/>
        </w:rPr>
        <w:t>fulfils</w:t>
      </w:r>
      <w:r w:rsidR="00B1159E" w:rsidRPr="00C70F9F">
        <w:rPr>
          <w:rFonts w:ascii="Arial" w:hAnsi="Arial" w:cs="Arial"/>
          <w:sz w:val="22"/>
          <w:szCs w:val="22"/>
          <w:lang w:val="en-GB"/>
        </w:rPr>
        <w:t xml:space="preserve"> the general </w:t>
      </w:r>
      <w:r>
        <w:rPr>
          <w:rFonts w:ascii="Arial" w:hAnsi="Arial" w:cs="Arial"/>
          <w:sz w:val="22"/>
          <w:szCs w:val="22"/>
          <w:lang w:val="en-GB"/>
        </w:rPr>
        <w:t>selection criteria</w:t>
      </w:r>
      <w:r w:rsidRPr="00C70F9F">
        <w:rPr>
          <w:rFonts w:ascii="Arial" w:hAnsi="Arial" w:cs="Arial"/>
          <w:sz w:val="22"/>
          <w:szCs w:val="22"/>
          <w:lang w:val="en-GB"/>
        </w:rPr>
        <w:t xml:space="preserve"> </w:t>
      </w:r>
      <w:r w:rsidR="00B1159E" w:rsidRPr="00C70F9F">
        <w:rPr>
          <w:rFonts w:ascii="Arial" w:hAnsi="Arial" w:cs="Arial"/>
          <w:sz w:val="22"/>
          <w:szCs w:val="22"/>
          <w:lang w:val="en-GB"/>
        </w:rPr>
        <w:t xml:space="preserve">indicated in </w:t>
      </w:r>
      <w:r w:rsidR="00B1159E" w:rsidRPr="00473398">
        <w:rPr>
          <w:rFonts w:ascii="Arial" w:hAnsi="Arial" w:cs="Arial"/>
          <w:sz w:val="22"/>
          <w:szCs w:val="22"/>
          <w:lang w:val="en-GB"/>
        </w:rPr>
        <w:t xml:space="preserve">Article </w:t>
      </w:r>
      <w:r w:rsidR="00473398" w:rsidRPr="00473398">
        <w:rPr>
          <w:rFonts w:ascii="Arial" w:hAnsi="Arial" w:cs="Arial"/>
          <w:sz w:val="22"/>
          <w:szCs w:val="22"/>
          <w:lang w:val="en-GB"/>
        </w:rPr>
        <w:t>10</w:t>
      </w:r>
      <w:r w:rsidR="00B1159E" w:rsidRPr="00473398">
        <w:rPr>
          <w:rFonts w:ascii="Arial" w:hAnsi="Arial" w:cs="Arial"/>
          <w:sz w:val="22"/>
          <w:szCs w:val="22"/>
          <w:lang w:val="en-GB"/>
        </w:rPr>
        <w:t xml:space="preserve"> Selection criteria of the tender </w:t>
      </w:r>
      <w:proofErr w:type="gramStart"/>
      <w:r w:rsidR="00B1159E" w:rsidRPr="00473398">
        <w:rPr>
          <w:rFonts w:ascii="Arial" w:hAnsi="Arial" w:cs="Arial"/>
          <w:sz w:val="22"/>
          <w:szCs w:val="22"/>
          <w:lang w:val="en-GB"/>
        </w:rPr>
        <w:t>specifications;</w:t>
      </w:r>
      <w:proofErr w:type="gramEnd"/>
    </w:p>
    <w:p w14:paraId="2325839C" w14:textId="6572C396" w:rsidR="000233C2" w:rsidRPr="00473398" w:rsidRDefault="00D97A85" w:rsidP="00D97A85">
      <w:pPr>
        <w:numPr>
          <w:ilvl w:val="0"/>
          <w:numId w:val="24"/>
        </w:numPr>
        <w:spacing w:before="120" w:after="120" w:line="360" w:lineRule="auto"/>
        <w:jc w:val="both"/>
        <w:rPr>
          <w:rFonts w:ascii="Arial" w:hAnsi="Arial" w:cs="Arial"/>
          <w:sz w:val="22"/>
          <w:szCs w:val="22"/>
          <w:lang w:val="en-GB"/>
        </w:rPr>
      </w:pPr>
      <w:r w:rsidRPr="00473398">
        <w:rPr>
          <w:rFonts w:ascii="Arial" w:hAnsi="Arial" w:cs="Arial"/>
          <w:sz w:val="22"/>
          <w:szCs w:val="22"/>
          <w:lang w:val="en-GB"/>
        </w:rPr>
        <w:t>fulfils</w:t>
      </w:r>
      <w:r w:rsidR="00B1159E" w:rsidRPr="00473398">
        <w:rPr>
          <w:rFonts w:ascii="Arial" w:hAnsi="Arial" w:cs="Arial"/>
          <w:sz w:val="22"/>
          <w:szCs w:val="22"/>
          <w:lang w:val="en-GB"/>
        </w:rPr>
        <w:t xml:space="preserve"> the economic and financial </w:t>
      </w:r>
      <w:r w:rsidRPr="00473398">
        <w:rPr>
          <w:rFonts w:ascii="Arial" w:hAnsi="Arial" w:cs="Arial"/>
          <w:sz w:val="22"/>
          <w:szCs w:val="22"/>
          <w:lang w:val="en-GB"/>
        </w:rPr>
        <w:t xml:space="preserve">selection </w:t>
      </w:r>
      <w:r w:rsidR="00B1159E" w:rsidRPr="00473398">
        <w:rPr>
          <w:rFonts w:ascii="Arial" w:hAnsi="Arial" w:cs="Arial"/>
          <w:sz w:val="22"/>
          <w:szCs w:val="22"/>
          <w:lang w:val="en-GB"/>
        </w:rPr>
        <w:t xml:space="preserve">criteria indicated in Article </w:t>
      </w:r>
      <w:r w:rsidR="00473398" w:rsidRPr="00473398">
        <w:rPr>
          <w:rFonts w:ascii="Arial" w:hAnsi="Arial" w:cs="Arial"/>
          <w:sz w:val="22"/>
          <w:szCs w:val="22"/>
          <w:lang w:val="en-GB"/>
        </w:rPr>
        <w:t>10</w:t>
      </w:r>
      <w:r w:rsidR="00B1159E" w:rsidRPr="00473398">
        <w:rPr>
          <w:rFonts w:ascii="Arial" w:hAnsi="Arial" w:cs="Arial"/>
          <w:sz w:val="22"/>
          <w:szCs w:val="22"/>
          <w:lang w:val="en-GB"/>
        </w:rPr>
        <w:t xml:space="preserve"> Selection criteria of the tender </w:t>
      </w:r>
      <w:proofErr w:type="gramStart"/>
      <w:r w:rsidR="00B1159E" w:rsidRPr="00473398">
        <w:rPr>
          <w:rFonts w:ascii="Arial" w:hAnsi="Arial" w:cs="Arial"/>
          <w:sz w:val="22"/>
          <w:szCs w:val="22"/>
          <w:lang w:val="en-GB"/>
        </w:rPr>
        <w:t>specifications;</w:t>
      </w:r>
      <w:proofErr w:type="gramEnd"/>
    </w:p>
    <w:p w14:paraId="7136C1D9" w14:textId="5380B798" w:rsidR="009147E5" w:rsidRPr="00C91C61" w:rsidRDefault="00D97A85" w:rsidP="00812420">
      <w:pPr>
        <w:numPr>
          <w:ilvl w:val="0"/>
          <w:numId w:val="24"/>
        </w:numPr>
        <w:spacing w:before="120" w:after="120" w:line="360" w:lineRule="auto"/>
        <w:jc w:val="both"/>
        <w:rPr>
          <w:rFonts w:ascii="Arial" w:hAnsi="Arial" w:cs="Arial"/>
          <w:sz w:val="22"/>
          <w:szCs w:val="22"/>
          <w:lang w:val="en-GB"/>
        </w:rPr>
      </w:pPr>
      <w:r w:rsidRPr="00473398">
        <w:rPr>
          <w:rFonts w:ascii="Arial" w:hAnsi="Arial" w:cs="Arial"/>
          <w:sz w:val="22"/>
          <w:szCs w:val="22"/>
          <w:lang w:val="en-GB"/>
        </w:rPr>
        <w:t>fulfils</w:t>
      </w:r>
      <w:r w:rsidR="00B1159E" w:rsidRPr="00473398">
        <w:rPr>
          <w:rFonts w:ascii="Arial" w:hAnsi="Arial" w:cs="Arial"/>
          <w:sz w:val="22"/>
          <w:szCs w:val="22"/>
          <w:lang w:val="en-GB"/>
        </w:rPr>
        <w:t xml:space="preserve"> the technical and professional </w:t>
      </w:r>
      <w:r w:rsidRPr="00473398">
        <w:rPr>
          <w:rFonts w:ascii="Arial" w:hAnsi="Arial" w:cs="Arial"/>
          <w:sz w:val="22"/>
          <w:szCs w:val="22"/>
          <w:lang w:val="en-GB"/>
        </w:rPr>
        <w:t xml:space="preserve">selection </w:t>
      </w:r>
      <w:r w:rsidR="00B1159E" w:rsidRPr="00473398">
        <w:rPr>
          <w:rFonts w:ascii="Arial" w:hAnsi="Arial" w:cs="Arial"/>
          <w:sz w:val="22"/>
          <w:szCs w:val="22"/>
          <w:lang w:val="en-GB"/>
        </w:rPr>
        <w:t xml:space="preserve">criteria indicated in Article </w:t>
      </w:r>
      <w:r w:rsidR="00473398" w:rsidRPr="00473398">
        <w:rPr>
          <w:rFonts w:ascii="Arial" w:hAnsi="Arial" w:cs="Arial"/>
          <w:sz w:val="22"/>
          <w:szCs w:val="22"/>
          <w:lang w:val="en-GB"/>
        </w:rPr>
        <w:t>10</w:t>
      </w:r>
      <w:r w:rsidR="00B1159E" w:rsidRPr="00473398">
        <w:rPr>
          <w:rFonts w:ascii="Arial" w:hAnsi="Arial" w:cs="Arial"/>
          <w:sz w:val="22"/>
          <w:szCs w:val="22"/>
          <w:lang w:val="en-GB"/>
        </w:rPr>
        <w:t xml:space="preserve"> Selection</w:t>
      </w:r>
      <w:r w:rsidR="00B1159E" w:rsidRPr="00D97A85">
        <w:rPr>
          <w:rFonts w:ascii="Arial" w:hAnsi="Arial" w:cs="Arial"/>
          <w:sz w:val="22"/>
          <w:szCs w:val="22"/>
          <w:lang w:val="en-GB"/>
        </w:rPr>
        <w:t xml:space="preserve"> criteria of the tender specifications.</w:t>
      </w:r>
    </w:p>
    <w:p w14:paraId="5CB79B4A" w14:textId="4C414B41" w:rsidR="008B005F"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D</w:t>
      </w:r>
      <w:r w:rsidR="0040717F">
        <w:rPr>
          <w:rFonts w:ascii="Arial" w:hAnsi="Arial" w:cs="Arial"/>
          <w:sz w:val="22"/>
          <w:szCs w:val="22"/>
          <w:lang w:val="en-GB"/>
        </w:rPr>
        <w:t xml:space="preserve">ate: </w:t>
      </w:r>
      <w:r w:rsidR="0040717F" w:rsidRPr="00473398">
        <w:rPr>
          <w:rFonts w:ascii="Arial" w:hAnsi="Arial" w:cs="Arial"/>
          <w:sz w:val="22"/>
          <w:szCs w:val="22"/>
          <w:lang w:val="en-GB"/>
        </w:rPr>
        <w:t>__/__/20</w:t>
      </w:r>
      <w:r w:rsidR="00473398" w:rsidRPr="00473398">
        <w:rPr>
          <w:rFonts w:ascii="Arial" w:hAnsi="Arial" w:cs="Arial"/>
          <w:sz w:val="22"/>
          <w:szCs w:val="22"/>
          <w:lang w:val="en-GB"/>
        </w:rPr>
        <w:t>24</w:t>
      </w:r>
    </w:p>
    <w:p w14:paraId="0ACD50A9" w14:textId="77777777" w:rsidR="009147E5" w:rsidRDefault="009147E5" w:rsidP="009147E5">
      <w:pPr>
        <w:jc w:val="both"/>
        <w:rPr>
          <w:rFonts w:ascii="Arial" w:hAnsi="Arial" w:cs="Arial"/>
          <w:sz w:val="22"/>
          <w:szCs w:val="22"/>
          <w:lang w:val="en-GB"/>
        </w:rPr>
      </w:pPr>
    </w:p>
    <w:p w14:paraId="019C10A8" w14:textId="77777777" w:rsidR="008F3A23"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S</w:t>
      </w:r>
      <w:r w:rsidR="008F3A23">
        <w:rPr>
          <w:rFonts w:ascii="Arial" w:hAnsi="Arial" w:cs="Arial"/>
          <w:sz w:val="22"/>
          <w:szCs w:val="22"/>
          <w:lang w:val="en-GB"/>
        </w:rPr>
        <w:t>ignature of the economic operator’s legal representative</w:t>
      </w:r>
      <w:r w:rsidRPr="008B005F">
        <w:rPr>
          <w:rFonts w:ascii="Arial" w:hAnsi="Arial" w:cs="Arial"/>
          <w:sz w:val="22"/>
          <w:szCs w:val="22"/>
          <w:lang w:val="en-GB"/>
        </w:rPr>
        <w:t>:</w:t>
      </w:r>
    </w:p>
    <w:p w14:paraId="5B37A56B" w14:textId="77777777" w:rsidR="0015168F" w:rsidRPr="00812420" w:rsidRDefault="008F3A23" w:rsidP="00C91C61">
      <w:pPr>
        <w:spacing w:before="120" w:after="120" w:line="360" w:lineRule="auto"/>
        <w:rPr>
          <w:rFonts w:ascii="Arial" w:eastAsia="Arial Unicode MS" w:hAnsi="Arial"/>
          <w:color w:val="000000"/>
          <w:lang w:val="en-GB"/>
        </w:rPr>
      </w:pPr>
      <w:r w:rsidRPr="008B005F">
        <w:rPr>
          <w:rFonts w:ascii="Arial" w:hAnsi="Arial" w:cs="Arial"/>
          <w:sz w:val="22"/>
          <w:szCs w:val="22"/>
          <w:lang w:val="en-GB"/>
        </w:rPr>
        <w:t>_________________________</w:t>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t>_____________________</w:t>
      </w:r>
      <w:r w:rsidR="000A44C8" w:rsidRPr="000233C2">
        <w:rPr>
          <w:rFonts w:ascii="Arial" w:hAnsi="Arial" w:cs="Arial"/>
          <w:b/>
          <w:sz w:val="32"/>
          <w:szCs w:val="20"/>
          <w:lang w:val="en-GB" w:eastAsia="ko-KR"/>
        </w:rPr>
        <w:t> </w:t>
      </w:r>
    </w:p>
    <w:sectPr w:rsidR="0015168F" w:rsidRPr="00812420" w:rsidSect="00BB3349">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07B53" w14:textId="77777777" w:rsidR="00BB3349" w:rsidRDefault="00BB3349" w:rsidP="00784BF8">
      <w:r>
        <w:separator/>
      </w:r>
    </w:p>
  </w:endnote>
  <w:endnote w:type="continuationSeparator" w:id="0">
    <w:p w14:paraId="0C5F66A4" w14:textId="77777777" w:rsidR="00BB3349" w:rsidRDefault="00BB3349" w:rsidP="00784BF8">
      <w:r>
        <w:continuationSeparator/>
      </w:r>
    </w:p>
  </w:endnote>
  <w:endnote w:type="continuationNotice" w:id="1">
    <w:p w14:paraId="3D8FC052" w14:textId="77777777" w:rsidR="00BB3349" w:rsidRDefault="00BB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DC3B3" w14:textId="77777777" w:rsidR="00257908" w:rsidRPr="00896DF6" w:rsidRDefault="00473398" w:rsidP="009147E5">
    <w:pPr>
      <w:rPr>
        <w:rFonts w:ascii="Times New Roman" w:hAnsi="Times New Roman"/>
        <w:color w:val="000000"/>
        <w:sz w:val="27"/>
        <w:szCs w:val="27"/>
        <w:lang w:val="en-GB"/>
      </w:rPr>
    </w:pPr>
    <w:r>
      <w:rPr>
        <w:noProof/>
      </w:rPr>
      <w:pict w14:anchorId="692AEC3B">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74CAF5DE" w14:textId="77777777" w:rsidR="00257908" w:rsidRPr="00257908" w:rsidRDefault="00257908"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5</w:t>
                </w:r>
                <w:r w:rsidRPr="00257908">
                  <w:rPr>
                    <w:rFonts w:ascii="Arial" w:hAnsi="Arial" w:cs="Arial"/>
                    <w:sz w:val="20"/>
                    <w:szCs w:val="20"/>
                    <w:lang w:val="en-GB"/>
                  </w:rPr>
                  <w:fldChar w:fldCharType="end"/>
                </w:r>
              </w:p>
            </w:txbxContent>
          </v:textbox>
        </v:shape>
      </w:pict>
    </w:r>
  </w:p>
  <w:p w14:paraId="42F98B0F" w14:textId="77777777" w:rsidR="00BB1899" w:rsidRPr="00257908" w:rsidRDefault="00BB1899"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4DB4E" w14:textId="77777777" w:rsidR="00BB3349" w:rsidRDefault="00BB3349" w:rsidP="00784BF8">
      <w:r>
        <w:separator/>
      </w:r>
    </w:p>
  </w:footnote>
  <w:footnote w:type="continuationSeparator" w:id="0">
    <w:p w14:paraId="0AC485EE" w14:textId="77777777" w:rsidR="00BB3349" w:rsidRDefault="00BB3349" w:rsidP="00784BF8">
      <w:r>
        <w:continuationSeparator/>
      </w:r>
    </w:p>
  </w:footnote>
  <w:footnote w:type="continuationNotice" w:id="1">
    <w:p w14:paraId="6D8FB00F" w14:textId="77777777" w:rsidR="00BB3349" w:rsidRDefault="00BB3349"/>
  </w:footnote>
  <w:footnote w:id="2">
    <w:p w14:paraId="019B309C" w14:textId="77777777" w:rsidR="00BB1899" w:rsidRPr="00AC13E3" w:rsidRDefault="00BB1899" w:rsidP="008B005F">
      <w:pPr>
        <w:pStyle w:val="FootnoteText"/>
        <w:rPr>
          <w:rFonts w:ascii="Times New Roman" w:hAnsi="Times New Roman"/>
          <w:lang w:val="en-GB"/>
        </w:rPr>
      </w:pPr>
      <w:r w:rsidRPr="00AC13E3">
        <w:rPr>
          <w:rStyle w:val="FootnoteReference"/>
          <w:rFonts w:ascii="Times New Roman" w:hAnsi="Times New Roman"/>
        </w:rPr>
        <w:footnoteRef/>
      </w:r>
      <w:r w:rsidRPr="00AC13E3">
        <w:rPr>
          <w:rFonts w:ascii="Times New Roman" w:hAnsi="Times New Roman"/>
          <w:lang w:val="en-GB"/>
        </w:rPr>
        <w:t xml:space="preserve"> As provided for in Article 41 of the EUI </w:t>
      </w:r>
      <w:hyperlink r:id="rId1" w:history="1">
        <w:r w:rsidRPr="00812420">
          <w:rPr>
            <w:rStyle w:val="Hyperlink"/>
            <w:rFonts w:ascii="Times New Roman" w:hAnsi="Times New Roman"/>
            <w:lang w:val="en-GB"/>
          </w:rPr>
          <w:t xml:space="preserve">President’s Decision </w:t>
        </w:r>
        <w:r w:rsidR="00812420" w:rsidRPr="00812420">
          <w:rPr>
            <w:rStyle w:val="Hyperlink"/>
            <w:rFonts w:ascii="Times New Roman" w:hAnsi="Times New Roman"/>
            <w:lang w:val="en-GB"/>
          </w:rPr>
          <w:t>n.</w:t>
        </w:r>
        <w:r w:rsidR="009147E5" w:rsidRPr="00812420">
          <w:rPr>
            <w:rStyle w:val="Hyperlink"/>
            <w:rFonts w:ascii="Times New Roman" w:hAnsi="Times New Roman"/>
            <w:lang w:val="en-GB"/>
          </w:rPr>
          <w:t>76</w:t>
        </w:r>
        <w:r w:rsidRPr="00812420">
          <w:rPr>
            <w:rStyle w:val="Hyperlink"/>
            <w:rFonts w:ascii="Times New Roman" w:hAnsi="Times New Roman"/>
            <w:lang w:val="en-GB"/>
          </w:rPr>
          <w:t>/20</w:t>
        </w:r>
        <w:r w:rsidR="009147E5" w:rsidRPr="00812420">
          <w:rPr>
            <w:rStyle w:val="Hyperlink"/>
            <w:rFonts w:ascii="Times New Roman" w:hAnsi="Times New Roman"/>
            <w:lang w:val="en-GB"/>
          </w:rPr>
          <w:t>23</w:t>
        </w:r>
      </w:hyperlink>
      <w:r w:rsidRPr="00AC13E3">
        <w:rPr>
          <w:rFonts w:ascii="Times New Roman" w:hAnsi="Times New Roman"/>
          <w:lang w:val="en-GB"/>
        </w:rPr>
        <w:t xml:space="preserve"> of </w:t>
      </w:r>
      <w:r w:rsidR="009147E5">
        <w:rPr>
          <w:rFonts w:ascii="Times New Roman" w:hAnsi="Times New Roman"/>
          <w:lang w:val="en-GB"/>
        </w:rPr>
        <w:t>20</w:t>
      </w:r>
      <w:r w:rsidRPr="00AC13E3">
        <w:rPr>
          <w:rFonts w:ascii="Times New Roman" w:hAnsi="Times New Roman"/>
          <w:vertAlign w:val="superscript"/>
          <w:lang w:val="en-GB"/>
        </w:rPr>
        <w:t>th</w:t>
      </w:r>
      <w:r w:rsidRPr="00AC13E3">
        <w:rPr>
          <w:rFonts w:ascii="Times New Roman" w:hAnsi="Times New Roman"/>
          <w:lang w:val="en-GB"/>
        </w:rPr>
        <w:t xml:space="preserve"> </w:t>
      </w:r>
      <w:r w:rsidR="009147E5">
        <w:rPr>
          <w:rFonts w:ascii="Times New Roman" w:hAnsi="Times New Roman"/>
          <w:lang w:val="en-GB"/>
        </w:rPr>
        <w:t>December</w:t>
      </w:r>
      <w:r w:rsidRPr="00AC13E3">
        <w:rPr>
          <w:rFonts w:ascii="Times New Roman" w:hAnsi="Times New Roman"/>
          <w:lang w:val="en-GB"/>
        </w:rPr>
        <w:t xml:space="preserve"> 20</w:t>
      </w:r>
      <w:r w:rsidR="009147E5">
        <w:rPr>
          <w:rFonts w:ascii="Times New Roman" w:hAnsi="Times New Roman"/>
          <w:lang w:val="en-GB"/>
        </w:rPr>
        <w:t>23</w:t>
      </w:r>
      <w:r w:rsidRPr="00AC13E3">
        <w:rPr>
          <w:rFonts w:ascii="Times New Roman" w:hAnsi="Times New Roman"/>
          <w:lang w:val="en-GB"/>
        </w:rPr>
        <w:t xml:space="preserve"> (Public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2B70F" w14:textId="77777777" w:rsidR="00257908" w:rsidRDefault="00257908" w:rsidP="00257908">
    <w:pPr>
      <w:pStyle w:val="NormalWeb"/>
      <w:spacing w:after="0"/>
      <w:rPr>
        <w:rFonts w:ascii="Arial" w:hAnsi="Arial" w:cs="Arial"/>
        <w:lang w:val="en-US"/>
      </w:rPr>
    </w:pPr>
  </w:p>
  <w:p w14:paraId="21659B2F" w14:textId="77777777" w:rsidR="00257908" w:rsidRPr="00473398" w:rsidRDefault="00C42335" w:rsidP="00257908">
    <w:pPr>
      <w:pStyle w:val="NormalWeb"/>
      <w:spacing w:after="360" w:afterAutospacing="0"/>
      <w:jc w:val="right"/>
      <w:rPr>
        <w:rFonts w:ascii="Arial" w:hAnsi="Arial" w:cs="Arial"/>
        <w:b/>
        <w:bCs/>
        <w:lang w:val="en-US"/>
      </w:rPr>
    </w:pPr>
    <w:r w:rsidRPr="00473398">
      <w:rPr>
        <w:rFonts w:ascii="Arial" w:hAnsi="Arial" w:cs="Arial"/>
        <w:b/>
        <w:bCs/>
        <w:lang w:val="en-US"/>
      </w:rPr>
      <w:t xml:space="preserve">Annex II A – Declaration on </w:t>
    </w:r>
    <w:proofErr w:type="spellStart"/>
    <w:r w:rsidRPr="00473398">
      <w:rPr>
        <w:rFonts w:ascii="Arial" w:hAnsi="Arial" w:cs="Arial"/>
        <w:b/>
        <w:bCs/>
        <w:lang w:val="en-US"/>
      </w:rPr>
      <w:t>honour</w:t>
    </w:r>
    <w:proofErr w:type="spellEnd"/>
  </w:p>
  <w:p w14:paraId="51FF20A8" w14:textId="730A1B1A" w:rsidR="00BB1899" w:rsidRPr="00257908" w:rsidRDefault="00473398" w:rsidP="00257908">
    <w:pPr>
      <w:pStyle w:val="NormalWeb"/>
      <w:spacing w:after="360" w:afterAutospacing="0"/>
      <w:jc w:val="right"/>
      <w:rPr>
        <w:lang w:val="en-US"/>
      </w:rPr>
    </w:pPr>
    <w:r>
      <w:rPr>
        <w:noProof/>
      </w:rPr>
      <w:pict w14:anchorId="68AA5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257908">
      <w:rPr>
        <w:rFonts w:ascii="Arial" w:hAnsi="Arial" w:cs="Arial"/>
        <w:lang w:val="en-US"/>
      </w:rPr>
      <w:t xml:space="preserve">Contract number: </w:t>
    </w:r>
    <w:r w:rsidRPr="00473398">
      <w:rPr>
        <w:rFonts w:ascii="Arial" w:hAnsi="Arial" w:cs="Arial"/>
        <w:b/>
        <w:bCs/>
        <w:lang w:val="en-US"/>
      </w:rPr>
      <w:t>OP/EUI/REFS/2024/003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704249">
    <w:abstractNumId w:val="2"/>
  </w:num>
  <w:num w:numId="2" w16cid:durableId="438961109">
    <w:abstractNumId w:val="4"/>
  </w:num>
  <w:num w:numId="3" w16cid:durableId="1139223417">
    <w:abstractNumId w:val="9"/>
  </w:num>
  <w:num w:numId="4" w16cid:durableId="70277945">
    <w:abstractNumId w:val="22"/>
  </w:num>
  <w:num w:numId="5" w16cid:durableId="1896817522">
    <w:abstractNumId w:val="19"/>
  </w:num>
  <w:num w:numId="6" w16cid:durableId="377435213">
    <w:abstractNumId w:val="25"/>
  </w:num>
  <w:num w:numId="7" w16cid:durableId="646472205">
    <w:abstractNumId w:val="17"/>
  </w:num>
  <w:num w:numId="8" w16cid:durableId="1396198803">
    <w:abstractNumId w:val="20"/>
  </w:num>
  <w:num w:numId="9" w16cid:durableId="994837403">
    <w:abstractNumId w:val="3"/>
  </w:num>
  <w:num w:numId="10" w16cid:durableId="31930266">
    <w:abstractNumId w:val="0"/>
  </w:num>
  <w:num w:numId="11" w16cid:durableId="1499615484">
    <w:abstractNumId w:val="12"/>
  </w:num>
  <w:num w:numId="12" w16cid:durableId="469983111">
    <w:abstractNumId w:val="16"/>
  </w:num>
  <w:num w:numId="13" w16cid:durableId="77143890">
    <w:abstractNumId w:val="24"/>
  </w:num>
  <w:num w:numId="14" w16cid:durableId="1323049787">
    <w:abstractNumId w:val="21"/>
  </w:num>
  <w:num w:numId="15" w16cid:durableId="1435711636">
    <w:abstractNumId w:val="1"/>
  </w:num>
  <w:num w:numId="16" w16cid:durableId="1058045776">
    <w:abstractNumId w:val="26"/>
  </w:num>
  <w:num w:numId="17" w16cid:durableId="2034987905">
    <w:abstractNumId w:val="13"/>
  </w:num>
  <w:num w:numId="18" w16cid:durableId="212808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71845">
    <w:abstractNumId w:val="6"/>
  </w:num>
  <w:num w:numId="20" w16cid:durableId="2064517725">
    <w:abstractNumId w:val="11"/>
  </w:num>
  <w:num w:numId="21" w16cid:durableId="1315254732">
    <w:abstractNumId w:val="15"/>
  </w:num>
  <w:num w:numId="22" w16cid:durableId="696665741">
    <w:abstractNumId w:val="23"/>
  </w:num>
  <w:num w:numId="23" w16cid:durableId="1628272639">
    <w:abstractNumId w:val="7"/>
  </w:num>
  <w:num w:numId="24" w16cid:durableId="1143279616">
    <w:abstractNumId w:val="10"/>
  </w:num>
  <w:num w:numId="25" w16cid:durableId="2117870720">
    <w:abstractNumId w:val="14"/>
  </w:num>
  <w:num w:numId="26" w16cid:durableId="1885554951">
    <w:abstractNumId w:val="8"/>
  </w:num>
  <w:num w:numId="27" w16cid:durableId="1432356498">
    <w:abstractNumId w:val="18"/>
  </w:num>
  <w:num w:numId="28" w16cid:durableId="13098213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549"/>
    <w:rsid w:val="0002076C"/>
    <w:rsid w:val="00021B63"/>
    <w:rsid w:val="00022268"/>
    <w:rsid w:val="00022400"/>
    <w:rsid w:val="00022D6E"/>
    <w:rsid w:val="000233C2"/>
    <w:rsid w:val="00033DB1"/>
    <w:rsid w:val="00034195"/>
    <w:rsid w:val="000366AC"/>
    <w:rsid w:val="000369E0"/>
    <w:rsid w:val="000369E9"/>
    <w:rsid w:val="00041338"/>
    <w:rsid w:val="000419A6"/>
    <w:rsid w:val="00045A39"/>
    <w:rsid w:val="00050452"/>
    <w:rsid w:val="0005289E"/>
    <w:rsid w:val="00053B6F"/>
    <w:rsid w:val="000542EB"/>
    <w:rsid w:val="00054448"/>
    <w:rsid w:val="00054E3B"/>
    <w:rsid w:val="00056343"/>
    <w:rsid w:val="000628C3"/>
    <w:rsid w:val="00063A18"/>
    <w:rsid w:val="00065C42"/>
    <w:rsid w:val="00065F38"/>
    <w:rsid w:val="0006706C"/>
    <w:rsid w:val="00084791"/>
    <w:rsid w:val="00087533"/>
    <w:rsid w:val="000879B4"/>
    <w:rsid w:val="00097FA6"/>
    <w:rsid w:val="000A0E1B"/>
    <w:rsid w:val="000A35A5"/>
    <w:rsid w:val="000A36EF"/>
    <w:rsid w:val="000A3A81"/>
    <w:rsid w:val="000A44C8"/>
    <w:rsid w:val="000A499E"/>
    <w:rsid w:val="000A6A93"/>
    <w:rsid w:val="000A6B64"/>
    <w:rsid w:val="000A731D"/>
    <w:rsid w:val="000B0AAC"/>
    <w:rsid w:val="000B0EBB"/>
    <w:rsid w:val="000B24DE"/>
    <w:rsid w:val="000B2602"/>
    <w:rsid w:val="000B2DE3"/>
    <w:rsid w:val="000B3CBC"/>
    <w:rsid w:val="000B4F1E"/>
    <w:rsid w:val="000B5F65"/>
    <w:rsid w:val="000B5FF4"/>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2C71"/>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53DC"/>
    <w:rsid w:val="001B65C0"/>
    <w:rsid w:val="001B66ED"/>
    <w:rsid w:val="001C23E3"/>
    <w:rsid w:val="001C246B"/>
    <w:rsid w:val="001C36AD"/>
    <w:rsid w:val="001C4F7D"/>
    <w:rsid w:val="001C5132"/>
    <w:rsid w:val="001C535E"/>
    <w:rsid w:val="001C5952"/>
    <w:rsid w:val="001C6030"/>
    <w:rsid w:val="001D05C1"/>
    <w:rsid w:val="001D16EA"/>
    <w:rsid w:val="001D3C9A"/>
    <w:rsid w:val="001D681B"/>
    <w:rsid w:val="001E0D49"/>
    <w:rsid w:val="001E1D82"/>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3193"/>
    <w:rsid w:val="00236D77"/>
    <w:rsid w:val="00241950"/>
    <w:rsid w:val="00242022"/>
    <w:rsid w:val="00243683"/>
    <w:rsid w:val="00245A95"/>
    <w:rsid w:val="00251785"/>
    <w:rsid w:val="00256145"/>
    <w:rsid w:val="00257908"/>
    <w:rsid w:val="00260206"/>
    <w:rsid w:val="00262302"/>
    <w:rsid w:val="002649DD"/>
    <w:rsid w:val="00264A9E"/>
    <w:rsid w:val="002657EE"/>
    <w:rsid w:val="0026781B"/>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4036"/>
    <w:rsid w:val="002F6331"/>
    <w:rsid w:val="00300265"/>
    <w:rsid w:val="003009AF"/>
    <w:rsid w:val="00302601"/>
    <w:rsid w:val="003028F7"/>
    <w:rsid w:val="00303E39"/>
    <w:rsid w:val="003058B9"/>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3F5E"/>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3398"/>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9D9"/>
    <w:rsid w:val="00670FFC"/>
    <w:rsid w:val="00672D35"/>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97E0E"/>
    <w:rsid w:val="007A1FBE"/>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7F29F2"/>
    <w:rsid w:val="00802C2A"/>
    <w:rsid w:val="008039DA"/>
    <w:rsid w:val="008041B4"/>
    <w:rsid w:val="00804C54"/>
    <w:rsid w:val="00811369"/>
    <w:rsid w:val="008118A6"/>
    <w:rsid w:val="00812420"/>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D7F45"/>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47E5"/>
    <w:rsid w:val="00914F4E"/>
    <w:rsid w:val="0091729A"/>
    <w:rsid w:val="0092173C"/>
    <w:rsid w:val="009239E2"/>
    <w:rsid w:val="009266EF"/>
    <w:rsid w:val="009276A7"/>
    <w:rsid w:val="009338ED"/>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274E8"/>
    <w:rsid w:val="00A30AF4"/>
    <w:rsid w:val="00A33294"/>
    <w:rsid w:val="00A3376B"/>
    <w:rsid w:val="00A345E5"/>
    <w:rsid w:val="00A359BF"/>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597C"/>
    <w:rsid w:val="00B97FFD"/>
    <w:rsid w:val="00BA05ED"/>
    <w:rsid w:val="00BA0E26"/>
    <w:rsid w:val="00BA2D9A"/>
    <w:rsid w:val="00BB1899"/>
    <w:rsid w:val="00BB1D87"/>
    <w:rsid w:val="00BB2B29"/>
    <w:rsid w:val="00BB2E8D"/>
    <w:rsid w:val="00BB3349"/>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21F5"/>
    <w:rsid w:val="00C1323C"/>
    <w:rsid w:val="00C13A30"/>
    <w:rsid w:val="00C15711"/>
    <w:rsid w:val="00C15753"/>
    <w:rsid w:val="00C23BF3"/>
    <w:rsid w:val="00C24238"/>
    <w:rsid w:val="00C25D06"/>
    <w:rsid w:val="00C3046B"/>
    <w:rsid w:val="00C30613"/>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1C61"/>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97A85"/>
    <w:rsid w:val="00DA0EDA"/>
    <w:rsid w:val="00DA513D"/>
    <w:rsid w:val="00DA704C"/>
    <w:rsid w:val="00DB11DE"/>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362F0"/>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D2215"/>
  <w15:chartTrackingRefBased/>
  <w15:docId w15:val="{3DBE775D-959C-4063-AB4F-FFBD319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semiHidden/>
    <w:unhideWhenUsed/>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81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DPR-76-2023-Public-Procurement-Regul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Documents/AboutEUI/DPR-76-2023-Public-Procurement-Regul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9630-91F8-4098-B70C-EFA912F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1161</Words>
  <Characters>7064</Characters>
  <Application>Microsoft Office Word</Application>
  <DocSecurity>0</DocSecurity>
  <Lines>156</Lines>
  <Paragraphs>104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8121</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3</cp:revision>
  <cp:lastPrinted>2015-04-27T16:21:00Z</cp:lastPrinted>
  <dcterms:created xsi:type="dcterms:W3CDTF">2024-04-23T08:24:00Z</dcterms:created>
  <dcterms:modified xsi:type="dcterms:W3CDTF">2024-09-03T12:23:00Z</dcterms:modified>
</cp:coreProperties>
</file>