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wmf" ContentType="image/x-wmf"/>
  <Default Extension="gif" ContentType="image/gif"/>
  <Default Extension="png" ContentType="image/.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3" /><Relationship Type="http://schemas.openxmlformats.org/officeDocument/2006/relationships/extended-properties" Target="docProps/app.xml" Id="rId4" /><Relationship Type="http://schemas.openxmlformats.org/package/2006/relationships/metadata/core-properties" Target="docProps/core.xml" Id="rId5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  <w:rPr>
          <w:lang w:val="en-GB"/>
        </w:rPr>
        <w:spacing w:line="240" w:lineRule="auto"/>
      </w:pPr>
      <w:bookmarkStart w:name="_Toc67378704" w:id="2"/>
      <w:bookmarkStart w:name="_Toc68508547" w:id="3"/>
      <w:bookmarkStart w:name="_Toc320710574" w:id="4"/>
      <w:bookmarkStart w:name="_GoBack" w:id="5"/>
      <w:bookmarkEnd w:id="5"/>
      <w:r>
        <w:rPr>
          <w:lang w:val="en-GB"/>
        </w:rPr>
        <w:tab/>
        <w:t xml:space="preserve"/>
      </w:r>
    </w:p>
    <w:p>
      <w:pPr>
        <w:pStyle w:val="Heading1"/>
        <w:rPr>
          <w:lang w:val="en-GB"/>
        </w:rPr>
        <w:spacing w:line="240" w:lineRule="auto"/>
      </w:pPr>
      <w:r>
        <w:rPr>
          <w:lang w:val="en-GB"/>
        </w:rPr>
        <w:t xml:space="preserve">ANNEX</w:t>
      </w:r>
      <w:r>
        <w:rPr>
          <w:lang w:val="en-GB"/>
        </w:rPr>
        <w:t xml:space="preserve"> IV</w:t>
      </w:r>
    </w:p>
    <w:p>
      <w:pPr>
        <w:pStyle w:val="Heading1"/>
        <w:rPr>
          <w:lang w:val="en-GB" w:eastAsia="en-CA"/>
        </w:rPr>
        <w:spacing w:line="240" w:lineRule="auto"/>
      </w:pPr>
      <w:r>
        <w:rPr>
          <w:lang w:val="en-GB" w:eastAsia="en-CA"/>
        </w:rPr>
        <w:t xml:space="preserve">FUNCTIONAL REQUIREMENTS</w:t>
      </w:r>
      <w:bookmarkEnd w:id="2"/>
      <w:bookmarkEnd w:id="3"/>
      <w:bookmarkEnd w:id="4"/>
    </w:p>
    <w:p>
      <w:pPr>
        <w:rPr/>
        <w:ind w:right="397"/>
        <w:spacing w:line="276" w:lineRule="auto"/>
      </w:pPr>
    </w:p>
    <w:p>
      <w:pPr>
        <w:rPr/>
        <w:ind w:right="397"/>
        <w:spacing w:line="276" w:lineRule="auto"/>
      </w:pPr>
      <w:r>
        <w:rPr/>
        <w:t xml:space="preserve">The Proposal should describe the full functionality of the proposed System.  To facilitate this description and aid evaluation, </w:t>
      </w:r>
      <w:r>
        <w:rPr/>
        <w:t xml:space="preserve">the Company is</w:t>
      </w:r>
      <w:r>
        <w:rPr/>
        <w:t xml:space="preserve"> requested to reply to each functional requirement listed in this </w:t>
      </w:r>
      <w:r>
        <w:rPr/>
        <w:t xml:space="preserve">annex</w:t>
      </w:r>
      <w:r>
        <w:rPr/>
        <w:t xml:space="preserve"> by identifying whether:</w:t>
      </w:r>
    </w:p>
    <w:p>
      <w:pPr>
        <w:pStyle w:val="bullet1"/>
        <w:rPr>
          <w:sz w:val="20"/>
          <w:rFonts w:ascii="Verdana" w:hAnsi="Verdana" w:eastAsia="Verdana" w:cs="Verdana"/>
          <w:lang w:val="en-GB"/>
        </w:rPr>
        <w:ind w:left="0" w:right="397" w:firstLine="0"/>
        <w:spacing w:line="240" w:lineRule="auto"/>
      </w:pPr>
      <w:r>
        <w:rPr>
          <w:sz w:val="20"/>
          <w:rFonts w:ascii="Verdana" w:hAnsi="Verdana" w:eastAsia="Verdana" w:cs="Verdana"/>
          <w:lang w:val="en-GB"/>
        </w:rPr>
        <w:t xml:space="preserve">100.</w:t>
      </w:r>
      <w:r>
        <w:rPr>
          <w:sz w:val="20"/>
          <w:rFonts w:ascii="Verdana" w:hAnsi="Verdana" w:eastAsia="Verdana" w:cs="Verdana"/>
          <w:lang w:val="en-GB"/>
        </w:rPr>
        <w:tab/>
        <w:t xml:space="preserve"/>
      </w:r>
      <w:r>
        <w:rPr>
          <w:sz w:val="20"/>
          <w:rFonts w:ascii="Verdana" w:hAnsi="Verdana" w:eastAsia="Verdana" w:cs="Verdana"/>
          <w:lang w:val="en-GB"/>
        </w:rPr>
        <w:t xml:space="preserve">The proposed System currently meets the requirement.</w:t>
      </w:r>
    </w:p>
    <w:p>
      <w:pPr>
        <w:pStyle w:val="bullet1"/>
        <w:rPr>
          <w:sz w:val="20"/>
          <w:rFonts w:ascii="Verdana" w:hAnsi="Verdana" w:eastAsia="Verdana" w:cs="Verdana"/>
          <w:lang w:val="en-GB"/>
        </w:rPr>
        <w:ind w:left="0" w:right="397" w:firstLine="0"/>
        <w:spacing w:line="240" w:lineRule="auto"/>
      </w:pPr>
      <w:r>
        <w:rPr>
          <w:sz w:val="20"/>
          <w:rFonts w:ascii="Verdana" w:hAnsi="Verdana" w:eastAsia="Verdana" w:cs="Verdana"/>
          <w:lang w:val="en-GB"/>
        </w:rPr>
        <w:t xml:space="preserve">50.</w:t>
      </w:r>
      <w:r>
        <w:rPr>
          <w:sz w:val="20"/>
          <w:rFonts w:ascii="Verdana" w:hAnsi="Verdana" w:eastAsia="Verdana" w:cs="Verdana"/>
          <w:lang w:val="en-GB"/>
        </w:rPr>
        <w:tab/>
        <w:t xml:space="preserve"/>
      </w:r>
      <w:r>
        <w:rPr>
          <w:sz w:val="20"/>
          <w:rFonts w:ascii="Verdana" w:hAnsi="Verdana" w:eastAsia="Verdana" w:cs="Verdana"/>
          <w:lang w:val="en-GB"/>
        </w:rPr>
        <w:t xml:space="preserve">The requirement will be met in an upcoming release of the proposed System, which </w:t>
      </w:r>
    </w:p>
    <w:p>
      <w:pPr>
        <w:pStyle w:val="bullet1"/>
        <w:rPr>
          <w:sz w:val="20"/>
          <w:rFonts w:ascii="Verdana" w:hAnsi="Verdana" w:eastAsia="Verdana" w:cs="Verdana"/>
          <w:lang w:val="en-GB"/>
        </w:rPr>
        <w:ind w:left="0" w:right="397" w:firstLine="720"/>
        <w:spacing w:line="240" w:lineRule="auto"/>
      </w:pPr>
      <w:r>
        <w:rPr>
          <w:sz w:val="20"/>
          <w:rFonts w:ascii="Verdana" w:hAnsi="Verdana" w:eastAsia="Verdana" w:cs="Verdana"/>
          <w:lang w:val="en-GB"/>
        </w:rPr>
        <w:t xml:space="preserve">is</w:t>
      </w:r>
      <w:r>
        <w:rPr>
          <w:sz w:val="20"/>
          <w:rFonts w:ascii="Verdana" w:hAnsi="Verdana" w:eastAsia="Verdana" w:cs="Verdana"/>
          <w:lang w:val="en-GB"/>
        </w:rPr>
        <w:t xml:space="preserve"> expected to be released by </w:t>
      </w:r>
      <w:r>
        <w:rPr>
          <w:sz w:val="20"/>
          <w:rFonts w:ascii="Verdana" w:hAnsi="Verdana" w:eastAsia="Verdana" w:cs="Verdana"/>
          <w:u w:val="single"/>
          <w:lang w:val="en-GB"/>
        </w:rPr>
        <w:tab/>
        <w:t xml:space="preserve"/>
      </w:r>
      <w:r>
        <w:rPr>
          <w:sz w:val="20"/>
          <w:rFonts w:ascii="Verdana" w:hAnsi="Verdana" w:eastAsia="Verdana" w:cs="Verdana"/>
          <w:u w:val="single"/>
          <w:lang w:val="en-GB"/>
        </w:rPr>
        <w:tab/>
        <w:t xml:space="preserve"/>
      </w:r>
      <w:r>
        <w:rPr>
          <w:sz w:val="20"/>
          <w:rFonts w:ascii="Verdana" w:hAnsi="Verdana" w:eastAsia="Verdana" w:cs="Verdana"/>
          <w:u w:val="single"/>
          <w:lang w:val="en-GB"/>
        </w:rPr>
        <w:tab/>
        <w:t xml:space="preserve"/>
      </w:r>
      <w:r>
        <w:rPr>
          <w:sz w:val="20"/>
          <w:rFonts w:ascii="Verdana" w:hAnsi="Verdana" w:eastAsia="Verdana" w:cs="Verdana"/>
          <w:u w:val="single"/>
          <w:lang w:val="en-GB"/>
        </w:rPr>
        <w:tab/>
        <w:t xml:space="preserve"/>
      </w:r>
      <w:r>
        <w:rPr>
          <w:sz w:val="20"/>
          <w:rFonts w:ascii="Verdana" w:hAnsi="Verdana" w:eastAsia="Verdana" w:cs="Verdana"/>
          <w:u w:val="single"/>
          <w:lang w:val="en-GB"/>
        </w:rPr>
        <w:tab/>
        <w:t xml:space="preserve"/>
      </w:r>
      <w:r>
        <w:rPr>
          <w:sz w:val="20"/>
          <w:rFonts w:ascii="Verdana" w:hAnsi="Verdana" w:eastAsia="Verdana" w:cs="Verdana"/>
          <w:u w:val="single"/>
          <w:lang w:val="en-GB"/>
        </w:rPr>
        <w:tab/>
        <w:t xml:space="preserve"/>
      </w:r>
      <w:r>
        <w:rPr>
          <w:sz w:val="20"/>
          <w:rFonts w:ascii="Verdana" w:hAnsi="Verdana" w:eastAsia="Verdana" w:cs="Verdana"/>
          <w:lang w:val="en-GB"/>
        </w:rPr>
        <w:t xml:space="preserve">.</w:t>
      </w:r>
    </w:p>
    <w:p>
      <w:pPr>
        <w:pStyle w:val="bullet1"/>
        <w:rPr>
          <w:sz w:val="20"/>
          <w:rFonts w:ascii="Verdana" w:hAnsi="Verdana" w:eastAsia="Verdana" w:cs="Verdana"/>
          <w:lang w:val="en-GB"/>
        </w:rPr>
        <w:ind w:left="0" w:right="397" w:firstLine="0"/>
        <w:spacing w:line="240" w:lineRule="auto"/>
      </w:pPr>
      <w:r>
        <w:rPr>
          <w:sz w:val="20"/>
          <w:rFonts w:ascii="Verdana" w:hAnsi="Verdana" w:eastAsia="Verdana" w:cs="Verdana"/>
          <w:lang w:val="en-GB"/>
        </w:rPr>
        <w:t xml:space="preserve">25</w:t>
      </w:r>
      <w:r>
        <w:rPr>
          <w:sz w:val="20"/>
          <w:rFonts w:ascii="Verdana" w:hAnsi="Verdana" w:eastAsia="Verdana" w:cs="Verdana"/>
          <w:lang w:val="en-GB"/>
        </w:rPr>
        <w:tab/>
        <w:t xml:space="preserve"/>
      </w:r>
      <w:r>
        <w:rPr>
          <w:sz w:val="20"/>
          <w:rFonts w:ascii="Verdana" w:hAnsi="Verdana" w:eastAsia="Verdana" w:cs="Verdana"/>
          <w:lang w:val="en-GB"/>
        </w:rPr>
        <w:t xml:space="preserve">The requirement can be met with customization in the proposed System. </w:t>
      </w:r>
    </w:p>
    <w:p>
      <w:pPr>
        <w:pStyle w:val="bullet1"/>
        <w:rPr>
          <w:sz w:val="20"/>
          <w:rFonts w:ascii="Verdana" w:hAnsi="Verdana" w:eastAsia="Verdana" w:cs="Verdana"/>
          <w:lang w:val="en-GB"/>
        </w:rPr>
        <w:ind w:left="0" w:right="397" w:firstLine="0"/>
        <w:spacing w:line="240" w:lineRule="auto"/>
      </w:pPr>
      <w:r>
        <w:rPr>
          <w:sz w:val="20"/>
          <w:rFonts w:ascii="Verdana" w:hAnsi="Verdana" w:eastAsia="Verdana" w:cs="Verdana"/>
          <w:lang w:val="en-GB"/>
        </w:rPr>
        <w:t xml:space="preserve">0</w:t>
      </w:r>
      <w:r>
        <w:rPr>
          <w:sz w:val="20"/>
          <w:rFonts w:ascii="Verdana" w:hAnsi="Verdana" w:eastAsia="Verdana" w:cs="Verdana"/>
          <w:lang w:val="en-GB"/>
        </w:rPr>
        <w:tab/>
        <w:t xml:space="preserve"/>
      </w:r>
      <w:r>
        <w:rPr>
          <w:sz w:val="20"/>
          <w:rFonts w:ascii="Verdana" w:hAnsi="Verdana" w:eastAsia="Verdana" w:cs="Verdana"/>
          <w:lang w:val="en-GB"/>
        </w:rPr>
        <w:t xml:space="preserve">The proposed System cannot meet this requirement</w:t>
      </w:r>
    </w:p>
    <w:p>
      <w:pPr>
        <w:pStyle w:val="bullet1"/>
        <w:rPr>
          <w:sz w:val="20"/>
          <w:rFonts w:ascii="Verdana" w:hAnsi="Verdana" w:eastAsia="Verdana" w:cs="Verdana"/>
          <w:b/>
          <w:lang w:val="en-GB"/>
        </w:rPr>
        <w:ind w:left="0" w:right="397" w:firstLine="0"/>
        <w:spacing w:line="240" w:lineRule="auto"/>
      </w:pPr>
    </w:p>
    <w:p>
      <w:pPr>
        <w:pStyle w:val="bullet1"/>
        <w:rPr>
          <w:sz w:val="20"/>
          <w:rFonts w:ascii="Verdana" w:hAnsi="Verdana" w:eastAsia="Verdana" w:cs="Verdana"/>
          <w:i/>
          <w:lang w:val="en-GB"/>
        </w:rPr>
        <w:ind w:left="0" w:right="397" w:firstLine="0"/>
        <w:spacing w:line="240" w:lineRule="auto"/>
      </w:pPr>
      <w:r>
        <w:rPr>
          <w:sz w:val="20"/>
          <w:rFonts w:ascii="Verdana" w:hAnsi="Verdana" w:eastAsia="Verdana" w:cs="Verdana"/>
          <w:lang w:val="en-GB"/>
        </w:rPr>
        <w:t xml:space="preserve">The Company is</w:t>
      </w:r>
      <w:r>
        <w:rPr>
          <w:sz w:val="20"/>
          <w:rFonts w:ascii="Verdana" w:hAnsi="Verdana" w:eastAsia="Verdana" w:cs="Verdana"/>
          <w:lang w:val="en-GB"/>
        </w:rPr>
        <w:t xml:space="preserve"> cautioned that this list of functional requirements is not comprehensive nor should it be considered as the minimum required functionality.  The proposed System will be evaluated on its total functionality.</w:t>
      </w:r>
      <w:r>
        <w:rPr>
          <w:sz w:val="20"/>
          <w:rFonts w:ascii="Verdana" w:hAnsi="Verdana" w:eastAsia="Verdana" w:cs="Verdana"/>
          <w:i/>
          <w:lang w:val="en-GB"/>
        </w:rPr>
        <w:t xml:space="preserve"> </w:t>
      </w:r>
    </w:p>
    <w:p>
      <w:pPr>
        <w:rPr/>
        <w:ind w:right="397"/>
        <w:spacing w:line="276" w:lineRule="auto"/>
      </w:pPr>
    </w:p>
    <w:p>
      <w:pPr>
        <w:pStyle w:val="Heading5"/>
        <w:rPr>
          <w:rFonts w:ascii="Verdana" w:hAnsi="Verdana" w:eastAsia="Verdana" w:cs="Verdana"/>
          <w:lang w:val="en-GB"/>
        </w:rPr>
        <w:jc w:val="left"/>
        <w:ind w:right="397"/>
        <w:spacing w:line="240" w:lineRule="auto"/>
      </w:pPr>
    </w:p>
    <w:tbl>
      <w:tblPr>
        <w:tblLook w:val="0000" w:firstRow="0" w:lastRow="0" w:firstColumn="0" w:lastColumn="0" w:noHBand="0" w:noVBand="0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jc w:val="left"/>
        <w:tblW w:type="dxa" w:w="10020"/>
      </w:tblPr>
      <w:tblGrid>
        <w:gridCol w:w="1164"/>
        <w:gridCol w:w="3813"/>
        <w:gridCol w:w="1842"/>
        <w:gridCol w:w="3201"/>
      </w:tblGrid>
      <w:tr>
        <w:trPr>
          <w:tblHeader/>
        </w:trPr>
        <w:tc>
          <w:tcPr>
            <w:tcW w:type="dxa" w:w="1164"/>
            <w:tcBorders/>
          </w:tcPr>
          <w:p>
            <w:pPr>
              <w:rPr>
                <w:sz w:val="18"/>
                <w:b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  <w:b/>
              </w:rPr>
              <w:t xml:space="preserve">Section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  <w:b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  <w:b/>
              </w:rPr>
              <w:t xml:space="preserve">SYSTEM REQUIREMENT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  <w:b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  <w:b/>
              </w:rPr>
              <w:t xml:space="preserve">COMPANY</w:t>
            </w:r>
            <w:r>
              <w:rPr>
                <w:sz w:val="18"/>
                <w:b/>
              </w:rPr>
              <w:t xml:space="preserve">’S</w:t>
            </w:r>
            <w:r>
              <w:rPr>
                <w:sz w:val="18"/>
                <w:b/>
              </w:rPr>
              <w:t xml:space="preserve"> ESTIMATE /100</w:t>
            </w:r>
          </w:p>
        </w:tc>
        <w:tc>
          <w:tcPr>
            <w:tcW w:type="dxa" w:w="3201"/>
            <w:tcBorders/>
          </w:tcPr>
          <w:p>
            <w:pPr>
              <w:rPr>
                <w:sz w:val="18"/>
                <w:b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  <w:b/>
              </w:rPr>
              <w:t xml:space="preserve">COMPANY</w:t>
            </w:r>
            <w:r>
              <w:rPr>
                <w:sz w:val="18"/>
                <w:b/>
              </w:rPr>
              <w:t xml:space="preserve">’S</w:t>
            </w:r>
            <w:r>
              <w:rPr>
                <w:sz w:val="18"/>
                <w:b/>
              </w:rPr>
              <w:t xml:space="preserve"> COMMENT</w:t>
            </w:r>
          </w:p>
        </w:tc>
      </w:tr>
      <w:tr>
        <w:trPr/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III 2.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Database</w:t>
            </w:r>
            <w:r>
              <w:rPr>
                <w:sz w:val="18"/>
              </w:rPr>
              <w:t xml:space="preserve"> 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  <w:b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  <w:b/>
              </w:rPr>
              <w:ind w:right="397"/>
              <w:spacing w:before="48" w:after="48" w:line="276" w:lineRule="auto"/>
            </w:pPr>
          </w:p>
        </w:tc>
      </w:tr>
      <w:tr>
        <w:trPr/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III 3.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Development Environment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  <w:b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  <w:b/>
              </w:rPr>
              <w:ind w:right="397"/>
              <w:spacing w:before="48" w:after="48" w:line="276" w:lineRule="auto"/>
            </w:pPr>
          </w:p>
        </w:tc>
      </w:tr>
      <w:tr>
        <w:trPr/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III 4.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Application server/environment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  <w:b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  <w:b/>
              </w:rPr>
              <w:ind w:right="397"/>
              <w:spacing w:before="48" w:after="48" w:line="276" w:lineRule="auto"/>
            </w:pPr>
          </w:p>
        </w:tc>
      </w:tr>
      <w:tr>
        <w:trPr>
          <w:trHeight w:val="253" w:hRule="atLeast"/>
        </w:trPr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III 5.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Application platform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  <w:b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  <w:b/>
              </w:rPr>
              <w:ind w:right="397"/>
              <w:spacing w:before="48" w:after="48" w:line="276" w:lineRule="auto"/>
            </w:pPr>
          </w:p>
        </w:tc>
      </w:tr>
      <w:tr>
        <w:trPr/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III 6.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Support for standards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  <w:b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  <w:b/>
              </w:rPr>
              <w:ind w:right="397"/>
              <w:spacing w:before="48" w:after="48" w:line="276" w:lineRule="auto"/>
            </w:pPr>
          </w:p>
        </w:tc>
      </w:tr>
      <w:tr>
        <w:trPr/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III 9.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Authentication and user access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</w:tr>
      <w:tr>
        <w:trPr/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IV 1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Researcher group affiliation Management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  <w:b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  <w:b/>
              </w:rPr>
              <w:ind w:right="397"/>
              <w:spacing w:before="48" w:after="48" w:line="276" w:lineRule="auto"/>
            </w:pPr>
          </w:p>
        </w:tc>
      </w:tr>
      <w:tr>
        <w:trPr/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IV 2.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</w:rPr>
              <w:jc w:val="both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Role management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</w:tr>
      <w:tr>
        <w:trPr/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IV 3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</w:rPr>
              <w:jc w:val="both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User access management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</w:tr>
      <w:tr>
        <w:trPr/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IV 4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</w:rPr>
              <w:jc w:val="both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Alerts/Workflow management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</w:tr>
      <w:tr>
        <w:trPr/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IV 5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Access and change tracking logs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</w:tr>
      <w:tr>
        <w:trPr>
          <w:trHeight w:val="215" w:hRule="atLeast"/>
        </w:trPr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IV 6</w:t>
            </w:r>
          </w:p>
        </w:tc>
        <w:tc>
          <w:tcPr>
            <w:tcW w:type="dxa" w:w="3813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Annotations and logs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</w:tr>
      <w:tr>
        <w:trPr/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V</w:t>
            </w:r>
          </w:p>
        </w:tc>
        <w:tc>
          <w:tcPr>
            <w:tcW w:type="dxa" w:w="3813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Online applications, selection, registration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</w:tr>
      <w:tr>
        <w:trPr/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VI 2.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</w:rPr>
              <w:jc w:val="both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Personal details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</w:tr>
      <w:tr>
        <w:trPr/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VI 3.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</w:rPr>
              <w:jc w:val="both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Contact details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</w:tr>
      <w:tr>
        <w:trPr/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VI 4.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</w:rPr>
              <w:jc w:val="both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Programme and department affiliation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</w:tr>
      <w:tr>
        <w:trPr/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VI 5.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</w:rPr>
              <w:jc w:val="both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Status management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</w:tr>
      <w:tr>
        <w:trPr/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VI 6.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</w:rPr>
              <w:jc w:val="both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Research intermissions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</w:tr>
      <w:tr>
        <w:trPr/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VI 7.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</w:rPr>
              <w:jc w:val="both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Grant Management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</w:tr>
      <w:tr>
        <w:trPr/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VI 8.a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</w:rPr>
              <w:jc w:val="both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Thesis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</w:tr>
      <w:tr>
        <w:trPr/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VI 8.b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</w:rPr>
              <w:jc w:val="both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Progress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</w:tr>
      <w:tr>
        <w:trPr/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VI 8.c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</w:rPr>
              <w:jc w:val="both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Objectives (PRP)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</w:tr>
      <w:tr>
        <w:trPr/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VI 8.d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</w:rPr>
              <w:jc w:val="both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Missions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</w:tr>
      <w:tr>
        <w:trPr/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VI 8.e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</w:rPr>
              <w:jc w:val="both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Supervision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</w:tr>
      <w:tr>
        <w:trPr/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VI 8.g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</w:rPr>
              <w:jc w:val="both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Annotation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</w:tr>
      <w:tr>
        <w:trPr/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VI 9.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</w:rPr>
              <w:jc w:val="both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Paper submissions and correction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</w:tr>
      <w:tr>
        <w:trPr/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VI 10.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</w:rPr>
              <w:jc w:val="both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Events/Seminar Management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</w:tr>
      <w:tr>
        <w:trPr/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VI 11.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</w:rPr>
              <w:jc w:val="both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Health Insurance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</w:tr>
      <w:tr>
        <w:trPr/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VII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</w:rPr>
              <w:jc w:val="both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Portal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</w:tr>
      <w:tr>
        <w:trPr/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VIII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</w:rPr>
              <w:jc w:val="both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Alumni module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</w:tr>
      <w:tr>
        <w:trPr/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IX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</w:rPr>
              <w:jc w:val="both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Integration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</w:tr>
      <w:tr>
        <w:trPr/>
        <w:tc>
          <w:tcPr>
            <w:tcW w:type="dxa" w:w="1164"/>
            <w:tcBorders/>
          </w:tcPr>
          <w:p>
            <w:pPr>
              <w:rPr>
                <w:sz w:val="18"/>
              </w:rPr>
              <w:jc w:val="center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X</w:t>
            </w:r>
          </w:p>
        </w:tc>
        <w:tc>
          <w:tcPr>
            <w:tcW w:type="dxa" w:w="3813"/>
            <w:tcBorders/>
            <w:noWrap w:val="false"/>
          </w:tcPr>
          <w:p>
            <w:pPr>
              <w:rPr>
                <w:sz w:val="18"/>
              </w:rPr>
              <w:jc w:val="both"/>
              <w:ind w:right="397"/>
              <w:spacing w:before="48" w:after="48" w:line="276" w:lineRule="auto"/>
            </w:pPr>
            <w:r>
              <w:rPr>
                <w:sz w:val="18"/>
              </w:rPr>
              <w:t xml:space="preserve">Transcripts, reporting statistics</w:t>
            </w:r>
          </w:p>
        </w:tc>
        <w:tc>
          <w:tcPr>
            <w:tcW w:type="dxa" w:w="1842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  <w:tc>
          <w:tcPr>
            <w:tcW w:type="dxa" w:w="3201"/>
            <w:tcBorders/>
          </w:tcPr>
          <w:p>
            <w:pPr>
              <w:rPr>
                <w:sz w:val="18"/>
              </w:rPr>
              <w:ind w:right="397"/>
              <w:spacing w:before="48" w:after="48" w:line="276" w:lineRule="auto"/>
            </w:pPr>
          </w:p>
        </w:tc>
      </w:tr>
    </w:tbl>
    <w:p>
      <w:pPr>
        <w:rPr/>
        <w:spacing w:line="276" w:lineRule="auto"/>
      </w:pPr>
    </w:p>
    <w:sectPr>
      <w:type w:val="nextPage"/>
      <w:pgSz w:w="11907" w:h="16840"/>
      <w:pgMar w:top="720" w:right="720" w:bottom="720" w:left="720" w:footer="680" w:header="680" w:gutter="680"/>
      <w:pgBorders/>
      <w:docGrid w:linePitch="299"/>
      <w:pgNumType w:fmt="decimal"/>
      <w:headerReference w:type="default" r:id="rId1"/>
      <w:cols w:num="1" w:equalWidth="1" w:space="720"/>
    </w:sectPr>
  </w:body>
</w:document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Header"/>
      <w:rPr/>
      <w:spacing w:line="276" w:lineRule="auto"/>
    </w:pPr>
    <w:r>
      <w:rPr>
        <w:noProof/>
      </w:rPr>
      <w:drawing>
        <wp:anchor distT="0" distB="0" distL="0" distR="0" simplePos="0" relativeHeight="0" behindDoc="0" locked="0" layoutInCell="1" allowOverlap="1">
          <wp:simplePos x="0" y="0"/>
          <wp:positionH relativeFrom="column">
            <wp:posOffset>-406400</wp:posOffset>
          </wp:positionH>
          <wp:positionV relativeFrom="paragraph">
            <wp:posOffset>-12700</wp:posOffset>
          </wp:positionV>
          <wp:extent cx="6484620" cy="867410"/>
          <wp:wrapSquare wrapText="bothSides"/>
          <wp:docPr id="1" name="" descr="generic-[header]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84620" cy="867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zoom w:percent="100"/>
  <w:proofState w:grammar="clean" w:spelling="clean"/>
  <w:defaultTabStop w:val="720"/>
  <w:compat>
    <w:adjustLineHeightInTable/>
    <w:splitPgBreakAndParaMark/>
  </w:compat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rFonts w:ascii="Calibri" w:hAnsi="Calibri" w:eastAsia="Calibri" w:cs="Calibri"/>
        <w:lang w:val="en-GB" w:eastAsia="ar-SA"/>
      </w:rPr>
    </w:rPrDefault>
    <w:pPrDefault/>
  </w:docDefaults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qFormat/>
    <w:basedOn w:val="Normal"/>
    <w:link w:val="Heading1Char"/>
    <w:pPr>
      <w:outlineLvl w:val="0"/>
      <w:keepNext/>
      <w:jc w:val="center"/>
      <w:ind w:right="397"/>
      <w:spacing w:after="0" w:line="240" w:lineRule="auto"/>
    </w:pPr>
    <w:rPr>
      <w:sz w:val="24"/>
      <w:szCs w:val="24"/>
      <w:rFonts w:ascii="Verdana" w:hAnsi="Verdana" w:eastAsia="Times New Roman" w:cs="Verdana"/>
      <w:b/>
      <w:caps/>
      <w:lang w:val="en-US"/>
    </w:rPr>
  </w:style>
  <w:style w:type="paragraph" w:styleId="Heading5">
    <w:name w:val="Heading 5"/>
    <w:qFormat/>
    <w:basedOn w:val="Normal"/>
    <w:link w:val="Heading5Char"/>
    <w:pPr>
      <w:outlineLvl w:val="4"/>
      <w:keepNext/>
      <w:jc w:val="right"/>
      <w:spacing w:after="0" w:line="240" w:lineRule="auto"/>
    </w:pPr>
    <w:rPr>
      <w:sz w:val="20"/>
      <w:szCs w:val="20"/>
      <w:rFonts w:ascii="Arial" w:hAnsi="Arial" w:eastAsia="Times New Roman" w:cs="Arial"/>
      <w:b/>
      <w:lang w:val="en-US"/>
    </w:rPr>
  </w:style>
  <w:style w:type="character" w:default="1" w:styleId="DefaultParagraphFont">
    <w:name w:val="Default Paragraph Font"/>
    <w:semiHidden/>
    <w:unhideWhenUsed/>
    <w:rPr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="1" w:styleId="Heading1Char">
    <w:name w:val="Heading 1 Char"/>
    <w:link w:val="Heading1"/>
    <w:rPr>
      <w:sz w:val="24"/>
      <w:szCs w:val="24"/>
      <w:rFonts w:ascii="Verdana" w:hAnsi="Verdana" w:eastAsia="Times New Roman" w:cs="Verdana"/>
      <w:b/>
      <w:caps/>
      <w:lang w:val="en-US" w:eastAsia="en-US"/>
    </w:rPr>
  </w:style>
  <w:style w:type="character" w:custom="1" w:styleId="Heading5Char">
    <w:name w:val="Heading 5 Char"/>
    <w:link w:val="Heading5"/>
    <w:rPr>
      <w:rFonts w:ascii="Arial" w:hAnsi="Arial" w:eastAsia="Times New Roman" w:cs="Arial"/>
      <w:b/>
      <w:lang w:val="en-US" w:eastAsia="en-US"/>
    </w:rPr>
  </w:style>
  <w:style w:type="paragraph" w:custom="1" w:styleId="bullet1">
    <w:name w:val="bullet 1"/>
    <w:basedOn w:val="Normal"/>
    <w:pPr>
      <w:ind w:left="1800" w:firstLine="-360"/>
      <w:spacing w:before="80" w:after="0" w:line="240" w:lineRule="auto"/>
    </w:pPr>
    <w:rPr>
      <w:sz w:val="24"/>
      <w:szCs w:val="20"/>
      <w:rFonts w:ascii="Times New Roman" w:hAnsi="Times New Roman" w:eastAsia="Times New Roman" w:cs="Times New Roman"/>
      <w:lang w:val="en-US"/>
    </w:rPr>
  </w:style>
  <w:style w:type="paragraph" w:styleId="Header">
    <w:name w:val="Header"/>
    <w:basedOn w:val="Normal"/>
    <w:link w:val="HeaderChar"/>
    <w:unhideWhenUsed/>
    <w:pPr>
      <w:tabs>
        <w:tab w:pos="4513" w:val="center"/>
        <w:tab w:pos="9026" w:val="right"/>
      </w:tabs>
      <w:spacing/>
    </w:pPr>
    <w:rPr/>
  </w:style>
  <w:style w:type="character" w:custom="1" w:styleId="HeaderChar">
    <w:name w:val="Header Char"/>
    <w:link w:val="Header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pPr>
      <w:tabs>
        <w:tab w:pos="4513" w:val="center"/>
        <w:tab w:pos="9026" w:val="right"/>
      </w:tabs>
      <w:spacing/>
    </w:pPr>
    <w:rPr/>
  </w:style>
  <w:style w:type="character" w:custom="1" w:styleId="FooterChar">
    <w:name w:val="Footer Char"/>
    <w:link w:val="Footer"/>
    <w:rPr>
      <w:sz w:val="22"/>
      <w:szCs w:val="22"/>
      <w:lang w:eastAsia="en-US"/>
    </w:rPr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6" /><Relationship Type="http://schemas.openxmlformats.org/officeDocument/2006/relationships/settings" Target="settings.xml" Id="rId7" /><Relationship Type="http://schemas.openxmlformats.org/officeDocument/2006/relationships/numbering" Target="numbering.xml" Id="rId8" /><Relationship Type="http://schemas.openxmlformats.org/officeDocument/2006/relationships/header" Target="header1.xml" Id="rId1" /></Relationships>
</file>

<file path=word/_rels/header1.xml.rels>&#65279;<Relationships xmlns="http://schemas.openxmlformats.org/package/2006/relationships"><Relationship Type="http://schemas.openxmlformats.org/officeDocument/2006/relationships/image" Target="media/image2.jpeg" Id="rId2" 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274</Words>
  <Characters>1566</Characters>
  <Application>Microsoft Office Word</Application>
  <DocSecurity>0</DocSecurity>
  <Lines>13</Lines>
  <Paragraphs>3</Paragraphs>
  <Company>EUI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5 - Annex IV - Functional requirements</dc:title>
  <dc:creator>Barbara Ciomei</dc:creator>
  <cp:lastModifiedBy>Administrator</cp:lastModifiedBy>
  <cp:revision>2</cp:revision>
  <dcterms:created xsi:type="dcterms:W3CDTF">2012-05-21T13:37:00Z</dcterms:created>
  <dcterms:modified xsi:type="dcterms:W3CDTF">2012-05-24T16:52:40.24Z</dcterms:modified>
</cp:coreProperties>
</file>