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center"/>
        <w:spacing w:before="100" w:beforeAutospacing="1" w:after="100" w:afterAutospacing="1" w:line="240" w:lineRule="auto"/>
      </w:pPr>
      <w:r>
        <w:rPr>
          <w:b/>
          <w:bCs/>
        </w:rPr>
        <w:t xml:space="preserve">2001. </w:t>
      </w:r>
      <w:r>
        <w:rPr>
          <w:b/>
          <w:bCs/>
        </w:rPr>
        <w:t xml:space="preserve">évi</w:t>
      </w:r>
      <w:r>
        <w:rPr>
          <w:b/>
          <w:bCs/>
        </w:rPr>
        <w:t xml:space="preserve"> LXXX. </w:t>
      </w:r>
      <w:r>
        <w:rPr>
          <w:b/>
          <w:bCs/>
        </w:rPr>
        <w:t xml:space="preserve">törvény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2" w:id="2"/>
      <w:bookmarkEnd w:id="2"/>
      <w:r>
        <w:rPr>
          <w:b/>
          <w:bCs/>
        </w:rPr>
        <w:t xml:space="preserve">a</w:t>
      </w:r>
      <w:r>
        <w:rPr>
          <w:b/>
          <w:bCs/>
        </w:rPr>
        <w:t xml:space="preserve"> jogellenesen kivitt kulturális javak visszaszolgáltatásáról</w:t>
      </w:r>
      <w:bookmarkStart w:name="pos1" w:id="3"/>
      <w:bookmarkEnd w:id="3"/>
      <w:hyperlink r:id="rId1" w:history="1">
        <w:r>
          <w:rPr>
            <w:b/>
            <w:bCs/>
            <w:u w:val="single"/>
            <w:color w:val="0000FF"/>
          </w:rPr>
          <w:t xml:space="preserve">1</w:t>
        </w:r>
      </w:hyperlink>
    </w:p>
    <w:p>
      <w:pPr>
        <w:rPr/>
        <w:jc w:val="center"/>
        <w:spacing w:before="100" w:beforeAutospacing="1" w:after="100" w:afterAutospacing="1" w:line="240" w:lineRule="auto"/>
      </w:pPr>
      <w:bookmarkStart w:name="kagy3" w:id="4"/>
      <w:bookmarkEnd w:id="4"/>
      <w:r>
        <w:rPr>
          <w:i/>
          <w:iCs/>
          <w:b/>
          <w:bCs/>
        </w:rPr>
        <w:t xml:space="preserve">A törvény hatálya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1. § </w:t>
      </w:r>
      <w:r>
        <w:rPr/>
        <w:t xml:space="preserve">E törvény hatálya kiterjed </w:t>
      </w:r>
      <w:r>
        <w:rPr/>
        <w:t xml:space="preserve">az</w:t>
      </w:r>
      <w:r>
        <w:rPr/>
        <w:t xml:space="preserve"> Európai Unió valamely tagállama (a továbbiakban: tagállam) területéről jogellenesen kivitt és a Magyar Köztársaság területén lévő kulturális javak visszaszolgáltatására, valamint az ezzel kapcsolatos eljárási rendre.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4" w:id="5"/>
      <w:bookmarkEnd w:id="5"/>
      <w:r>
        <w:rPr>
          <w:i/>
          <w:iCs/>
          <w:b/>
          <w:bCs/>
        </w:rPr>
        <w:t xml:space="preserve">Értelmező rendelkezések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2. § </w:t>
      </w:r>
      <w:r>
        <w:rPr/>
        <w:t xml:space="preserve">E törvény alkalmazásában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1. </w:t>
      </w:r>
      <w:r>
        <w:rPr>
          <w:i/>
          <w:iCs/>
        </w:rPr>
        <w:t xml:space="preserve">kulturális</w:t>
      </w:r>
      <w:r>
        <w:rPr>
          <w:i/>
          <w:iCs/>
        </w:rPr>
        <w:t xml:space="preserve"> javak: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a) </w:t>
      </w:r>
      <w:r>
        <w:rPr/>
        <w:t xml:space="preserve">azok</w:t>
      </w:r>
      <w:r>
        <w:rPr/>
        <w:t xml:space="preserve"> a javak, melyeket a tagállam területéről történő jogellenes kivitel előtt vagy azt követően nemzeti jogszabály vagy államigazgatási eljárás keretében hozott hatósági határozat az Európai Közösséget létrehozó szerződés 30. </w:t>
      </w:r>
      <w:r>
        <w:rPr/>
        <w:t xml:space="preserve">(ex. 36.)</w:t>
      </w:r>
      <w:r>
        <w:rPr/>
        <w:t xml:space="preserve"> Cikke szerinti „művészi, történelmi vagy régészeti értéket képviselő nemzeti kincsek” közé sorol, és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b) </w:t>
      </w:r>
      <w:r>
        <w:rPr/>
        <w:t xml:space="preserve">amelyek</w:t>
      </w:r>
      <w:r>
        <w:rPr/>
        <w:t xml:space="preserve"> a </w:t>
      </w:r>
      <w:r>
        <w:rPr>
          <w:i/>
          <w:iCs/>
        </w:rPr>
        <w:t xml:space="preserve">melléklet </w:t>
      </w:r>
      <w:r>
        <w:rPr/>
        <w:t xml:space="preserve">szerinti kategóriák valamelyikébe tartoznak, vagy egyik ilyen kategóriába sem tartoznak, de szerves részét képezik: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- </w:t>
      </w:r>
      <w:r>
        <w:rPr/>
        <w:t xml:space="preserve">muzeális</w:t>
      </w:r>
      <w:r>
        <w:rPr/>
        <w:t xml:space="preserve"> intézmények, levéltárak, valamint könyvtárak megőrzendő állományi leltárában szereplő közgyűjteménynek,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- </w:t>
      </w:r>
      <w:r>
        <w:rPr/>
        <w:t xml:space="preserve">egyházi</w:t>
      </w:r>
      <w:r>
        <w:rPr/>
        <w:t xml:space="preserve"> intézmények leltárának;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2. közgyűjtemény: </w:t>
      </w:r>
      <w:r>
        <w:rPr/>
        <w:t xml:space="preserve">az a gyűjtemény, mely a tagállam, annak helyi vagy regionális hatósága, illetve olyan intézmény tulajdonát képezi, mely a tagállam területén található és a tagállam jogszabálya szerint közintézménynek minősül, továbbá a tagállam, illetve egy helyi vagy regionális hatóság tulajdona, vagy finanszírozását jelentős mértékben azok biztosítják;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3. </w:t>
      </w:r>
      <w:r>
        <w:rPr>
          <w:i/>
          <w:iCs/>
        </w:rPr>
        <w:t xml:space="preserve">jogellenes</w:t>
      </w:r>
      <w:r>
        <w:rPr>
          <w:i/>
          <w:iCs/>
        </w:rPr>
        <w:t xml:space="preserve"> kivitel: </w:t>
      </w:r>
      <w:r>
        <w:rPr/>
        <w:t xml:space="preserve">a kulturális javaknak a tagállam területéről a kulturális javak védelméről szóló tagállami jogszabályok vagy a kulturális javak kiviteléről szóló 3911/92/EGK tanácsi rendelet megsértésével történt kivitele, illetve a jogszerű ideiglenes kivitelre vonatkozó feltételek megszegéséből adódó jogsértés is;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4. </w:t>
      </w:r>
      <w:r>
        <w:rPr>
          <w:i/>
          <w:iCs/>
        </w:rPr>
        <w:t xml:space="preserve">kérelmező</w:t>
      </w:r>
      <w:r>
        <w:rPr>
          <w:i/>
          <w:iCs/>
        </w:rPr>
        <w:t xml:space="preserve"> állam: </w:t>
      </w:r>
      <w:r>
        <w:rPr/>
        <w:t xml:space="preserve">az a tagállam, amelynek területéről a kulturális javakat jogellenesen kivitték;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5. </w:t>
      </w:r>
      <w:r>
        <w:rPr>
          <w:i/>
          <w:iCs/>
        </w:rPr>
        <w:t xml:space="preserve">kérelmezett</w:t>
      </w:r>
      <w:r>
        <w:rPr>
          <w:i/>
          <w:iCs/>
        </w:rPr>
        <w:t xml:space="preserve"> állam: </w:t>
      </w:r>
      <w:r>
        <w:rPr/>
        <w:t xml:space="preserve">az a tagállam, amelynek területén egy másik tagállam területéről jogellenesen kivitt kulturális javak megtalálhatóak;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6. </w:t>
      </w:r>
      <w:r>
        <w:rPr>
          <w:i/>
          <w:iCs/>
        </w:rPr>
        <w:t xml:space="preserve">visszaszolgáltatás</w:t>
      </w:r>
      <w:r>
        <w:rPr>
          <w:i/>
          <w:iCs/>
        </w:rPr>
        <w:t xml:space="preserve">: </w:t>
      </w:r>
      <w:r>
        <w:rPr/>
        <w:t xml:space="preserve">a kulturális javak visszaszállítása a kérelmező állam területére.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5" w:id="6"/>
      <w:bookmarkEnd w:id="6"/>
      <w:r>
        <w:rPr>
          <w:i/>
          <w:iCs/>
          <w:b/>
          <w:bCs/>
        </w:rPr>
        <w:t xml:space="preserve">A visszaszolgáltatás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3. § </w:t>
      </w:r>
      <w:r>
        <w:rPr/>
        <w:t xml:space="preserve">(1) A kérelmező állam területéről jogellenesen kivitt kulturális javakat azok birtokosa, tekintet nélkül arra, hogy </w:t>
      </w:r>
      <w:r>
        <w:rPr/>
        <w:t xml:space="preserve">azt</w:t>
      </w:r>
      <w:r>
        <w:rPr/>
        <w:t xml:space="preserve"> saját nevében vagy harmadik személy nevében tartja magánál, köteles visszaszolgáltatni a kérelmező államnak.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(2) A bíróság elrendeli a kérdéses javak visszaszolgáltatását, ha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a) </w:t>
      </w:r>
      <w:r>
        <w:rPr/>
        <w:t xml:space="preserve">azok</w:t>
      </w:r>
      <w:r>
        <w:rPr/>
        <w:t xml:space="preserve"> kulturális javaknak minősülnek, és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b) </w:t>
      </w:r>
      <w:r>
        <w:rPr/>
        <w:t xml:space="preserve">jogellenesen</w:t>
      </w:r>
      <w:r>
        <w:rPr/>
        <w:t xml:space="preserve"> vitték ki a kérelmező állam területéről.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(3) A birtokos a kérelmező állam részéről méltányos kártalanításra jogosult, amennyiben a kulturális javak megszerzése során úgy járt el, ahogy </w:t>
      </w:r>
      <w:r>
        <w:rPr/>
        <w:t xml:space="preserve">az</w:t>
      </w:r>
      <w:r>
        <w:rPr/>
        <w:t xml:space="preserve"> az adott helyzetben általában elvárható. A birtokost abban </w:t>
      </w:r>
      <w:r>
        <w:rPr/>
        <w:t xml:space="preserve">az</w:t>
      </w:r>
      <w:r>
        <w:rPr/>
        <w:t xml:space="preserve"> esetben illeti meg a kártalanítás, amennyiben a tárgyat visszaszolgáltatta.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(4) A kártalanításról a bíróság dönt. Ennek megítélése során figyelembe kell venni különösen: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birtoklás jogcímét és annak jellegét,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b) </w:t>
      </w:r>
      <w:r>
        <w:rPr/>
        <w:t xml:space="preserve">a</w:t>
      </w:r>
      <w:r>
        <w:rPr/>
        <w:t xml:space="preserve"> szerzés visszterhességét vagy ingyenességét,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c) </w:t>
      </w:r>
      <w:r>
        <w:rPr/>
        <w:t xml:space="preserve">a</w:t>
      </w:r>
      <w:r>
        <w:rPr/>
        <w:t xml:space="preserve"> birtokos jóhiszeműségét,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d) </w:t>
      </w:r>
      <w:r>
        <w:rPr/>
        <w:t xml:space="preserve">a</w:t>
      </w:r>
      <w:r>
        <w:rPr/>
        <w:t xml:space="preserve"> birtokos tényleges kárát.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(5) Ajándékozás vagy öröklés esetén a birtokos a kártalanítás szempontjából nem lehet kedvezőbb helyzetben, mint </w:t>
      </w:r>
      <w:r>
        <w:rPr/>
        <w:t xml:space="preserve">az</w:t>
      </w:r>
      <w:r>
        <w:rPr/>
        <w:t xml:space="preserve">, akitől a tárgyat szerezte.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4. § </w:t>
      </w:r>
      <w:r>
        <w:rPr/>
        <w:t xml:space="preserve">(1) A visszaszolgáltatást követően a kulturális javak tulajdonjogára a kérelmező állam joga vonatkozik.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(2) Az</w:t>
      </w:r>
      <w:r>
        <w:rPr/>
        <w:t xml:space="preserve"> e törvényben foglaltak nem érintik a kérelmező államnak és a jogellenesen kivitt kulturális javak tulajdonosának a kérelmező állam joga alapján indítható egyéb (polgári, büntetőjogi) igényeit.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5. § </w:t>
      </w:r>
      <w:r>
        <w:rPr/>
        <w:t xml:space="preserve">(1) Nincs helye a visszaszolgáltatásra irányuló eljárásnak, ha megindításának időpontjában a kulturális javak kivitele a kérelmező állam joga szerint már nem minősül jogellenesnek.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(2) Nem indítható visszaszolgáltatási eljárás, ha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kérelmező állam központi szervének a kulturális javak előfordulási helyére vagy a birtokosára vonatkozó információ tudomásra jutásától számított 1 év, vagy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b) </w:t>
      </w:r>
      <w:r>
        <w:rPr/>
        <w:t xml:space="preserve">a</w:t>
      </w:r>
      <w:r>
        <w:rPr/>
        <w:t xml:space="preserve"> jogellenes kiviteltől számított 30 év, illetve közgyűjtemények vagy egyházi intézmények leltárában szereplő javak esetében 75 év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eltelt</w:t>
      </w:r>
      <w:r>
        <w:rPr/>
        <w:t xml:space="preserve">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(3) Nemzetközi szerződés a közgyűjtemények vagy egyházi intézmények leltárában szereplő javak esetében 75 évnél hosszabb igényérvényesítési határidőt is előírhat.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6" w:id="7"/>
      <w:bookmarkEnd w:id="7"/>
      <w:r>
        <w:rPr>
          <w:i/>
          <w:iCs/>
          <w:b/>
          <w:bCs/>
        </w:rPr>
        <w:t xml:space="preserve">Eljárási szabályok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6. § </w:t>
      </w:r>
      <w:r>
        <w:rPr/>
        <w:t xml:space="preserve">(1) A kérelmező állam a területéről jogellenesen kivitt kulturális javak visszaszolgáltatását igényelheti, ha </w:t>
      </w:r>
      <w:r>
        <w:rPr/>
        <w:t xml:space="preserve">az</w:t>
      </w:r>
      <w:r>
        <w:rPr/>
        <w:t xml:space="preserve"> adott tárgy a Magyar Köztársaság területén van. E joga érvényesítése iránti keresetet a tárgyat ténylegesen birtokában tartó személy </w:t>
      </w:r>
      <w:r>
        <w:rPr/>
        <w:t xml:space="preserve">ellen</w:t>
      </w:r>
      <w:r>
        <w:rPr/>
        <w:t xml:space="preserve"> kell megindítani, tekintet nélkül arra, hogy az adott személy azt a saját nevében vagy harmadik személy nevében tartja magánál.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(2) A bírósági eljárás lefolytatása </w:t>
      </w:r>
      <w:r>
        <w:rPr/>
        <w:t xml:space="preserve">a</w:t>
      </w:r>
      <w:r>
        <w:rPr/>
        <w:t xml:space="preserve"> Fővárosi Bíróság hatáskörébe és kizárólagos illetékességébe tartozik.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(3) A kérelmező állam nevében a perindításra a tagállamok által a tagállamok területéről jogellenesen kivitt kulturális tárgyak visszaszolgáltatásáról szóló 93/7/EGK tanácsi irányelv 3. Cikke alapján kijelölt, és </w:t>
      </w:r>
      <w:r>
        <w:rPr/>
        <w:t xml:space="preserve">az</w:t>
      </w:r>
      <w:r>
        <w:rPr/>
        <w:t xml:space="preserve"> Európai Bizottság által az Európai Unió Hivatalos Lapjában közzétett listán szereplő központi szerv jogosult.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(4) A keresetlevélhez - a Polgári perrendtartásról szóló 1952. </w:t>
      </w:r>
      <w:r>
        <w:rPr/>
        <w:t xml:space="preserve">évi</w:t>
      </w:r>
      <w:r>
        <w:rPr/>
        <w:t xml:space="preserve"> III. </w:t>
      </w:r>
      <w:r>
        <w:rPr/>
        <w:t xml:space="preserve">törvény</w:t>
      </w:r>
      <w:r>
        <w:rPr/>
        <w:t xml:space="preserve"> (a továbbiakban: Pp.) 121. § (1) bekezdésében foglaltakon túl - csatolni kell a visszaszolgáltatni kért kulturális javak leírását tartalmazó dokumentumot és a kérelmező állam központi szervének a tárgyak kulturális javak körébe tartozására, valamint a jogellenes kivitelre vonatkozó nyilatkozatát.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(5) Az</w:t>
      </w:r>
      <w:r>
        <w:rPr/>
        <w:t xml:space="preserve"> eljárás során hozott határozat végrehajtásával kapcsolatban felmerült költségeket a kérelmező állam viseli.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(6) A bíróság eljárására egyebekben a Pp. általános szabályai </w:t>
      </w:r>
      <w:r>
        <w:rPr/>
        <w:t xml:space="preserve">az</w:t>
      </w:r>
      <w:r>
        <w:rPr/>
        <w:t xml:space="preserve"> irányadóak.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7" w:id="8"/>
      <w:bookmarkEnd w:id="8"/>
      <w:r>
        <w:rPr>
          <w:i/>
          <w:iCs/>
          <w:b/>
          <w:bCs/>
        </w:rPr>
        <w:t xml:space="preserve">A központi szerv és feladatai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7. § </w:t>
      </w:r>
      <w:r>
        <w:rPr/>
        <w:t xml:space="preserve">(1) A kulturális javak visszaszolgáltatásával kapcsolatos állami feladatokat - a Magyar Köztársaság központi szerveként - a Kulturális Örökségvédelmi Hivatal (a továbbiakban: Hivatal) látja el.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(2) Az (1) bekezdésben meghatározott jogkörében eljárva a Hivatal a Magyar Állam képviseletében fellép a jogellenesen kivitt kulturális javak visszaszolgáltatása érdekében, együttműködik más tagállamok központi szerveivel, és előmozdítja a velük történő egyeztetést, így különösen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kérelmező állam - a kutatás elősegítéséhez szükséges valamennyi információt, így különösen a tárgy tényleges vagy vélhető feltalálási helyét tartalmazó - kérelme alapján felkutatja a jogellenesen kivitt kulturális javakat és azonosítja annak birtokosát,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b) </w:t>
      </w:r>
      <w:r>
        <w:rPr/>
        <w:t xml:space="preserve">értesíti</w:t>
      </w:r>
      <w:r>
        <w:rPr/>
        <w:t xml:space="preserve"> az érintett tagállamokat, ha alapos a gyanú, hogy olyan kulturális javak találhatóak a Magyar Köztársaság területén, amelyeket jogellenesen juttattak ki másik tagállam területéről,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c) </w:t>
      </w:r>
      <w:r>
        <w:rPr/>
        <w:t xml:space="preserve">a</w:t>
      </w:r>
      <w:r>
        <w:rPr/>
        <w:t xml:space="preserve"> </w:t>
      </w:r>
      <w:r>
        <w:rPr>
          <w:i/>
          <w:iCs/>
        </w:rPr>
        <w:t xml:space="preserve">b) </w:t>
      </w:r>
      <w:r>
        <w:rPr/>
        <w:t xml:space="preserve">pontban való értesítéstől számított két hónapon belül lehetővé teszi a kérelmező állam központi szerve számára annak ellenőrzését, hogy a kérdéses tárgyak kulturális javaknak minősülnek-e,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d) </w:t>
      </w:r>
      <w:r>
        <w:rPr/>
        <w:t xml:space="preserve">az</w:t>
      </w:r>
      <w:r>
        <w:rPr/>
        <w:t xml:space="preserve"> érintett tagállamok központi szerveivel együttműködve és azok költségére megteszi a szükséges intézkedéseket a kulturális javak állagának megóvása érdekében,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e) </w:t>
      </w:r>
      <w:r>
        <w:rPr/>
        <w:t xml:space="preserve">a</w:t>
      </w:r>
      <w:r>
        <w:rPr/>
        <w:t xml:space="preserve"> jogellenesen kivitt kulturális javak - azonnal végrehajthatóvá nyilvánított határozattal történő - közgyűjteményben való ideiglenes elhelyezésével megakadályozhatja a visszaszolgáltatás meghiúsítására alkalmas vagy a visszaszolgáltatást veszélyeztető cselekményeket,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i/>
          <w:iCs/>
        </w:rPr>
        <w:t xml:space="preserve">f) </w:t>
      </w:r>
      <w:r>
        <w:rPr/>
        <w:t xml:space="preserve">közvetítőként</w:t>
      </w:r>
      <w:r>
        <w:rPr/>
        <w:t xml:space="preserve"> jár el a kérelmező állam és a birtokos között a visszaszolgáltatás ügyében, továbbá a tárgy visszaszolgáltatása érdekében választottbíráskodás kikötését kezdeményezi a felek között, ha ezt a választottbíráskodásról szóló 1994. </w:t>
      </w:r>
      <w:r>
        <w:rPr/>
        <w:t xml:space="preserve">évi</w:t>
      </w:r>
      <w:r>
        <w:rPr/>
        <w:t xml:space="preserve"> LXXI. </w:t>
      </w:r>
      <w:r>
        <w:rPr/>
        <w:t xml:space="preserve">törvény</w:t>
      </w:r>
      <w:r>
        <w:rPr/>
        <w:t xml:space="preserve"> lehetővé teszi. </w:t>
      </w:r>
      <w:r>
        <w:rPr/>
        <w:t xml:space="preserve">Amennyiben választottbíróság kikötésére nincsen lehetőség, a bírósági eljárást megelőzően peren kívüli egyeztetést kezdeményez.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(3) A Hivatal megkeresésére a rendőrség a Rendőrségről szóló 1994. </w:t>
      </w:r>
      <w:r>
        <w:rPr/>
        <w:t xml:space="preserve">évi</w:t>
      </w:r>
      <w:r>
        <w:rPr/>
        <w:t xml:space="preserve"> XXXIV. </w:t>
      </w:r>
      <w:r>
        <w:rPr/>
        <w:t xml:space="preserve">törvény</w:t>
      </w:r>
      <w:r>
        <w:rPr/>
        <w:t xml:space="preserve"> rendelkezései szerint közreműködik a jogellenesen kivitt kulturális javak felkutatásában, állaguk megőrzése érdekében, valamint a birtokos azonosításában.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(4) Ha a (2) bekezdés </w:t>
      </w:r>
      <w:r>
        <w:rPr>
          <w:i/>
          <w:iCs/>
        </w:rPr>
        <w:t xml:space="preserve">c) </w:t>
      </w:r>
      <w:r>
        <w:rPr/>
        <w:t xml:space="preserve">pontjában meghatározott ellenőrzésre a kérelmező állam központi szervének felróható okból nem kerül sor, a (2) bekezdés </w:t>
      </w:r>
      <w:r>
        <w:rPr>
          <w:i/>
          <w:iCs/>
        </w:rPr>
        <w:t xml:space="preserve">d)</w:t>
      </w:r>
      <w:r>
        <w:rPr/>
        <w:t xml:space="preserve">-</w:t>
      </w:r>
      <w:r>
        <w:rPr>
          <w:i/>
          <w:iCs/>
        </w:rPr>
        <w:t xml:space="preserve">e) </w:t>
      </w:r>
      <w:r>
        <w:rPr/>
        <w:t xml:space="preserve">pontjaiban foglalt intézkedési kötelezettség nem terheli a Hivatalt.</w:t>
      </w:r>
    </w:p>
    <w:p>
      <w:pPr>
        <w:rPr/>
        <w:jc w:val="left"/>
        <w:spacing w:before="100" w:beforeAutospacing="1" w:after="100" w:afterAutospacing="1" w:line="240" w:lineRule="auto"/>
      </w:pPr>
      <w:r>
        <w:rPr/>
        <w:t xml:space="preserve">(5) A Hivatal haladéktalanul köteles tájékoztatni a kérelmezett állam központi szervét, ha bírósági eljárást indított a visszaszolgáltatás érdekében. Abban </w:t>
      </w:r>
      <w:r>
        <w:rPr/>
        <w:t xml:space="preserve">az</w:t>
      </w:r>
      <w:r>
        <w:rPr/>
        <w:t xml:space="preserve"> esetben, ha a Hivatal a kérelmező állam központi szervétől tájékoztatást kap a visszaszolgáltatás iránti bírósági eljárás megindításáról, erről haladéktalanul tájékoztatni köteles a többi tagállam központi szervét.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8" w:id="9"/>
      <w:bookmarkEnd w:id="9"/>
      <w:r>
        <w:rPr>
          <w:i/>
          <w:iCs/>
          <w:b/>
          <w:bCs/>
        </w:rPr>
        <w:t xml:space="preserve">Záró rendelkezések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8. § </w:t>
      </w:r>
      <w:r>
        <w:rPr/>
        <w:t xml:space="preserve">E törvény </w:t>
      </w:r>
      <w:r>
        <w:rPr/>
        <w:t xml:space="preserve">az</w:t>
      </w:r>
      <w:r>
        <w:rPr/>
        <w:t xml:space="preserve"> Európai Unióhoz történő csatlakozásról szóló nemzetközi szerződést kihirdető törvény hatálybalépése napján lép hatályba. </w:t>
      </w:r>
      <w:r>
        <w:rPr/>
        <w:t xml:space="preserve">A törvény rendelkezéseit a hatálybalépése után jogellenesen kivitt kulturális javak visszaszolgáltatására kell alkalmazni.</w:t>
      </w:r>
    </w:p>
    <w:p>
      <w:pPr>
        <w:rPr/>
        <w:jc w:val="left"/>
        <w:spacing w:before="100" w:beforeAutospacing="1" w:after="100" w:afterAutospacing="1" w:line="240" w:lineRule="auto"/>
      </w:pPr>
      <w:r>
        <w:rPr>
          <w:b/>
          <w:bCs/>
        </w:rPr>
        <w:t xml:space="preserve">9. § </w:t>
      </w:r>
      <w:r>
        <w:rPr/>
        <w:t xml:space="preserve">Ez a törvény a Magyar Köztársaság és </w:t>
      </w:r>
      <w:r>
        <w:rPr/>
        <w:t xml:space="preserve">az</w:t>
      </w:r>
      <w:r>
        <w:rPr/>
        <w:t xml:space="preserve"> Európai Közösségek és azok tagállamai között társulás létesítéséről szóló, Brüsszelben, 1991. </w:t>
      </w:r>
      <w:r>
        <w:rPr/>
        <w:t xml:space="preserve">december</w:t>
      </w:r>
      <w:r>
        <w:rPr/>
        <w:t xml:space="preserve"> 16-án aláírt Európai Megállapodás kihirdetéséről szóló 1994. </w:t>
      </w:r>
      <w:r>
        <w:rPr/>
        <w:t xml:space="preserve">évi</w:t>
      </w:r>
      <w:r>
        <w:rPr/>
        <w:t xml:space="preserve"> I. törvény alapján az Európai Közösségek következő jogszabályával összeegyeztethető szabályozást tartalmaz: a Tanács 93/7/EGK irányelve a tagállamok területéről jogellenesen kiszállított kulturális tárgyak visszaszolgáltatásáról.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9" w:id="10"/>
      <w:bookmarkEnd w:id="10"/>
      <w:r>
        <w:rPr>
          <w:i/>
          <w:iCs/>
          <w:u w:val="single"/>
        </w:rPr>
        <w:t xml:space="preserve">Melléklet a 2001.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évi</w:t>
      </w:r>
      <w:r>
        <w:rPr>
          <w:i/>
          <w:iCs/>
          <w:u w:val="single"/>
        </w:rPr>
        <w:t xml:space="preserve"> LXXX. </w:t>
      </w:r>
      <w:r>
        <w:rPr>
          <w:i/>
          <w:iCs/>
          <w:u w:val="single"/>
        </w:rPr>
        <w:t xml:space="preserve">törvényhez</w:t>
      </w:r>
    </w:p>
    <w:p>
      <w:pPr>
        <w:rPr/>
        <w:jc w:val="center"/>
        <w:spacing w:before="100" w:beforeAutospacing="1" w:after="100" w:afterAutospacing="1" w:line="240" w:lineRule="auto"/>
      </w:pPr>
      <w:bookmarkStart w:name="kagy10" w:id="11"/>
      <w:bookmarkEnd w:id="11"/>
      <w:r>
        <w:rPr>
          <w:i/>
          <w:iCs/>
          <w:b/>
          <w:bCs/>
        </w:rPr>
        <w:t xml:space="preserve">A 2.</w:t>
      </w:r>
      <w:r>
        <w:rPr>
          <w:i/>
          <w:iCs/>
          <w:b/>
          <w:bCs/>
        </w:rPr>
        <w:t xml:space="preserve"> § 1. </w:t>
      </w:r>
      <w:r>
        <w:rPr>
          <w:i/>
          <w:iCs/>
          <w:b/>
          <w:bCs/>
        </w:rPr>
        <w:t xml:space="preserve">pont</w:t>
      </w:r>
      <w:r>
        <w:rPr>
          <w:i/>
          <w:iCs/>
          <w:b/>
          <w:bCs/>
        </w:rPr>
        <w:t xml:space="preserve"> hatálya alá eső kulturális javak kategóriái</w:t>
      </w:r>
    </w:p>
    <w:tbl>
      <w:tblPr>
        <w:tblLook w:val="04A0" w:firstRow="1" w:lastRow="0" w:firstColumn="1" w:lastColumn="0" w:noHBand="0" w:noVBand="1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Spacing w:w="0" w:type="dxa"/>
        <w:jc w:val="left"/>
        <w:tblCellMar>
          <w:left w:w="0" w:type="dxa"/>
          <w:right w:w="0" w:type="dxa"/>
        </w:tblCellMar>
        <w:tblW w:w="0" w:type="auto"/>
      </w:tblPr>
      <w:tblGrid>
        <w:gridCol w:w="1246"/>
        <w:gridCol w:w="4110"/>
        <w:gridCol w:w="1768"/>
        <w:gridCol w:w="1932"/>
      </w:tblGrid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Kategória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Leírás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Értékhatár euróban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Vámtarifaszám1 </w:t>
            </w:r>
          </w:p>
        </w:tc>
      </w:tr>
    </w:tbl>
    <w:p>
      <w:pPr>
        <w:rPr>
          <w:vanish/>
        </w:rPr>
        <w:jc w:val="left"/>
        <w:spacing w:before="0" w:after="0" w:line="240" w:lineRule="auto"/>
      </w:pPr>
    </w:p>
    <w:tbl>
      <w:tblPr>
        <w:tblLook w:val="04A0" w:firstRow="1" w:lastRow="0" w:firstColumn="1" w:lastColumn="0" w:noHBand="0" w:noVBand="1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Spacing w:w="0" w:type="dxa"/>
        <w:jc w:val="left"/>
        <w:tblCellMar>
          <w:left w:w="0" w:type="dxa"/>
          <w:right w:w="0" w:type="dxa"/>
        </w:tblCellMar>
        <w:tblW w:w="0" w:type="auto"/>
      </w:tblPr>
      <w:tblGrid>
        <w:gridCol w:w="1122"/>
        <w:gridCol w:w="4522"/>
        <w:gridCol w:w="1706"/>
        <w:gridCol w:w="1706"/>
      </w:tblGrid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</w:tbl>
    <w:p>
      <w:pPr>
        <w:rPr>
          <w:vanish/>
        </w:rPr>
        <w:jc w:val="left"/>
        <w:spacing w:before="0" w:after="0" w:line="240" w:lineRule="auto"/>
      </w:pPr>
    </w:p>
    <w:tbl>
      <w:tblPr>
        <w:tblLook w:val="04A0" w:firstRow="1" w:lastRow="0" w:firstColumn="1" w:lastColumn="0" w:noHBand="0" w:noVBand="1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Spacing w:w="0" w:type="dxa"/>
        <w:jc w:val="left"/>
        <w:tblCellMar>
          <w:left w:w="0" w:type="dxa"/>
          <w:right w:w="0" w:type="dxa"/>
        </w:tblCellMar>
        <w:tblW w:w="0" w:type="auto"/>
      </w:tblPr>
      <w:tblGrid>
        <w:gridCol w:w="1082"/>
        <w:gridCol w:w="4511"/>
        <w:gridCol w:w="1656"/>
        <w:gridCol w:w="1807"/>
      </w:tblGrid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100 évnél régebbi régészeti tárgyak, amelyek fellelésének </w:t>
            </w:r>
            <w:r>
              <w:rPr/>
              <w:br/>
            </w:r>
            <w:r>
              <w:rPr/>
              <w:t xml:space="preserve">helye: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br/>
            </w:r>
            <w:r>
              <w:rPr/>
              <w:t xml:space="preserve">nincs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br/>
            </w:r>
            <w:r>
              <w:rPr/>
              <w:t xml:space="preserve">9705 00 00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ásatások és feltárások a szárazföldön vagy a víz alatt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régészeti feltárások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régészeti gyűjtemények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2.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Művészeti, történelmi, illetve vallási műemlékekből származó, de azok szerves részét képező részek és elemek, amelyek kora meghaladja a 100 évet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nincs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9705 00 00 </w:t>
            </w:r>
            <w:r>
              <w:rPr/>
              <w:br/>
            </w: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3.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A 3. </w:t>
            </w:r>
            <w:r>
              <w:rPr>
                <w:i/>
                <w:iCs/>
              </w:rPr>
              <w:t xml:space="preserve">a) </w:t>
            </w:r>
            <w:r>
              <w:rPr/>
              <w:t xml:space="preserve">vagy</w:t>
            </w:r>
            <w:r>
              <w:rPr/>
              <w:t xml:space="preserve"> a 4. kategóriába nem tartozó, bármilyen alapra, bármilyen anyag használatával, teljesen kézzel készített képek és festmények2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9701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3. </w:t>
            </w:r>
            <w:r>
              <w:rPr>
                <w:i/>
                <w:iCs/>
              </w:rPr>
              <w:t xml:space="preserve">a)</w:t>
            </w:r>
            <w:r>
              <w:rPr/>
              <w:t xml:space="preserve">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Bármilyen alapra, teljesen kézzel készített vízfestmények, gouache-ok és pasztellképek2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30 000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9701 10 00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4.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Az 1. </w:t>
            </w:r>
            <w:r>
              <w:rPr/>
              <w:t xml:space="preserve">vagy</w:t>
            </w:r>
            <w:r>
              <w:rPr/>
              <w:t xml:space="preserve"> 2. kategóriába nem tartozó, bármilyen alapra, bármilyen anyag használatával, teljesen kézzel készített mozaikképek és rajzok2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15 000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6914 </w:t>
            </w:r>
            <w:r>
              <w:rPr/>
              <w:br/>
            </w:r>
            <w:r>
              <w:rPr/>
              <w:t xml:space="preserve">9701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Eredeti metszetek, nyomatok, szita- és kőnyomatok a hozzájuk tartozó nyomólemezekkel, valamint eredeti plakátok2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15 000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49. Árucsoport </w:t>
            </w:r>
            <w:r>
              <w:rPr/>
              <w:br/>
            </w:r>
            <w:r>
              <w:rPr/>
              <w:t xml:space="preserve">9702 00 00 </w:t>
            </w:r>
            <w:r>
              <w:rPr/>
              <w:br/>
            </w:r>
            <w:r>
              <w:rPr/>
              <w:t xml:space="preserve">8442 50 80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6.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Az 1. kategóriába nem tartozó eredeti szobrok, illetve szoborművek2 és az eredetivel azonos eljárással készült másolataik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9703 00 00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7.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Fényképek, filmek és negatívjaik2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15 000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3704 </w:t>
            </w:r>
            <w:r>
              <w:rPr/>
              <w:br/>
            </w:r>
            <w:r>
              <w:rPr/>
              <w:t xml:space="preserve">3705 </w:t>
            </w:r>
            <w:r>
              <w:rPr/>
              <w:br/>
            </w:r>
            <w:r>
              <w:rPr/>
              <w:t xml:space="preserve">3706 </w:t>
            </w:r>
            <w:r>
              <w:rPr/>
              <w:br/>
            </w:r>
            <w:r>
              <w:rPr/>
              <w:t xml:space="preserve">4911 91 80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8.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Ősnyomtatványok és kéziratok, beleértve a térképeket és zenei partitúrákat, egyenként vagy gyűjteményes formában2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nincs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9702 00 00 </w:t>
            </w:r>
            <w:r>
              <w:rPr/>
              <w:br/>
            </w:r>
            <w:r>
              <w:rPr/>
              <w:t xml:space="preserve">4901 10 00 </w:t>
            </w:r>
            <w:r>
              <w:rPr/>
              <w:br/>
            </w:r>
            <w:r>
              <w:rPr/>
              <w:t xml:space="preserve">4901 99 00 </w:t>
            </w:r>
            <w:r>
              <w:rPr/>
              <w:br/>
            </w:r>
            <w:r>
              <w:rPr/>
              <w:t xml:space="preserve">4904 00 00 </w:t>
            </w:r>
            <w:r>
              <w:rPr/>
              <w:br/>
            </w:r>
            <w:r>
              <w:rPr/>
              <w:t xml:space="preserve">4905 91 00 </w:t>
            </w:r>
            <w:r>
              <w:rPr/>
              <w:br/>
            </w:r>
            <w:r>
              <w:rPr/>
              <w:t xml:space="preserve">4905 99 00 </w:t>
            </w:r>
            <w:r>
              <w:rPr/>
              <w:br/>
            </w:r>
            <w:r>
              <w:rPr/>
              <w:t xml:space="preserve">4906 00 00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100 évesnél régebbi könyvek egyenként vagy gyűjteményes formában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9705 00 00 </w:t>
            </w:r>
            <w:r>
              <w:rPr/>
              <w:br/>
            </w: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10.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200 évesnél régebbi nyomtatott térképek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15 000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11.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évesnél régebbi, bármilyen adathordozóból álló archívumok és azok részeinek minden típusa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nincs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3704 </w:t>
            </w:r>
            <w:r>
              <w:rPr/>
              <w:br/>
            </w:r>
            <w:r>
              <w:rPr/>
              <w:t xml:space="preserve">3705 </w:t>
            </w:r>
            <w:r>
              <w:rPr/>
              <w:br/>
            </w:r>
            <w:r>
              <w:rPr/>
              <w:t xml:space="preserve">3706 </w:t>
            </w:r>
            <w:r>
              <w:rPr/>
              <w:br/>
            </w:r>
            <w:r>
              <w:rPr/>
              <w:t xml:space="preserve">4901 </w:t>
            </w:r>
            <w:r>
              <w:rPr/>
              <w:br/>
            </w:r>
            <w:r>
              <w:rPr/>
              <w:t xml:space="preserve">4906 </w:t>
            </w:r>
            <w:r>
              <w:rPr/>
              <w:br/>
            </w:r>
            <w:r>
              <w:rPr/>
              <w:t xml:space="preserve">9705 00 00 </w:t>
            </w:r>
            <w:r>
              <w:rPr/>
              <w:br/>
            </w: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12.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>
                <w:i/>
                <w:iCs/>
              </w:rPr>
              <w:t xml:space="preserve">a) </w:t>
            </w:r>
            <w:r>
              <w:rPr/>
              <w:t xml:space="preserve">Zoológiai, botanikai, ásványtani vagy anatómiai gyűjtemények3, illetve azok egyes darabjai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9705 00 00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>
                <w:i/>
                <w:iCs/>
              </w:rPr>
              <w:t xml:space="preserve">b) </w:t>
            </w:r>
            <w:r>
              <w:rPr/>
              <w:t xml:space="preserve">Történelmi, paleontológiai, néprajzi vagy numizmatikai jelentőségű gyűjtemények3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9705 00 00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13.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75 évesnél régebbi közlekedési eszközök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9705 00 00 </w:t>
            </w:r>
            <w:r>
              <w:rPr/>
              <w:br/>
            </w:r>
            <w:r>
              <w:rPr/>
              <w:t xml:space="preserve">86-89.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14. </w:t>
            </w: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Az 1-13-ig terjedő kategóriák egyikéhez sem tartozó minden egyéb antik darab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50 000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>
                <w:i/>
                <w:iCs/>
              </w:rPr>
              <w:t xml:space="preserve">a) </w:t>
            </w:r>
            <w:r>
              <w:rPr/>
              <w:t xml:space="preserve">50 és 100 éves kor között: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játékok, játékszerek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95.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üvegtárgyak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7013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arany- és ezüstnemű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7114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bútorok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94.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optikai, fotó- és kinematográfiai berendezések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90.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hangszerek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92.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órák és alkatrészeik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91.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fából készített műtárgyak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44.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kerámia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69.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kárpit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5805 00 00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szőnyegek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57.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tapéta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4814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- fegyverek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93. Árucsoport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>
                <w:i/>
                <w:iCs/>
              </w:rPr>
              <w:t xml:space="preserve">b) </w:t>
            </w:r>
            <w:r>
              <w:rPr/>
              <w:t xml:space="preserve">100 évesnél idősebb </w:t>
            </w: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  <w:r>
              <w:rPr/>
              <w:t xml:space="preserve">9706 00 00 </w:t>
            </w:r>
          </w:p>
        </w:tc>
      </w:tr>
      <w:tr>
        <w:trPr/>
        <w:tc>
          <w:tcPr>
            <w:tcW w:type="dxa" w:w="135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546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  <w:tc>
          <w:tcPr>
            <w:tcW w:type="dxa" w:w="205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rPr/>
              <w:jc w:val="left"/>
              <w:spacing w:before="0" w:after="0" w:line="240" w:lineRule="auto"/>
            </w:pPr>
          </w:p>
        </w:tc>
      </w:tr>
    </w:tbl>
    <w:p>
      <w:pPr>
        <w:rPr/>
        <w:spacing w:line="360" w:lineRule="auto"/>
      </w:pPr>
      <w:r>
        <w:rPr/>
        <w:t xml:space="preserve">Source: </w:t>
      </w:r>
      <w:r>
        <w:rPr/>
        <w:t xml:space="preserve">http://www.complex.hu/external.php?url=3</w:t>
      </w: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grammar="clean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/>
  </w:style>
  <w:style w:type="character" w:styleId="Hyperlink">
    <w:name w:val="Hyperlink"/>
    <w:basedOn w:val="DefaultParagraphFont"/>
    <w:semiHidden/>
    <w:unhideWhenUsed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hyperlink" Target="http://www.complex.hu/kzldat/t0100080.htm/t0100080_1.htm" Id="rId1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6</Pages>
  <Words>1826</Words>
  <Characters>10410</Characters>
  <Application>Microsoft Office Word</Application>
  <DocSecurity>0</DocSecurity>
  <Lines>86</Lines>
  <Paragraphs>24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lxxx2001</dc:title>
  <dc:creator>Lucas Lixinski</dc:creator>
  <cp:lastModifiedBy>vrdoljak</cp:lastModifiedBy>
  <cp:revision>1</cp:revision>
  <dcterms:created xsi:type="dcterms:W3CDTF">2010-07-16T07:51:00Z</dcterms:created>
  <dcterms:modified xsi:type="dcterms:W3CDTF">2010-07-21T16:12:45.23Z</dcterms:modified>
</cp:coreProperties>
</file>