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75" w:type="dxa"/>
        <w:tblCellMar>
          <w:top w:w="15" w:type="dxa"/>
          <w:left w:w="15" w:type="dxa"/>
          <w:bottom w:w="15" w:type="dxa"/>
          <w:right w:w="15" w:type="dxa"/>
        </w:tblCellMar>
        <w:tblLook w:val="04A0"/>
      </w:tblPr>
      <w:tblGrid>
        <w:gridCol w:w="735"/>
        <w:gridCol w:w="2015"/>
        <w:gridCol w:w="6606"/>
      </w:tblGrid>
      <w:tr w:rsidR="00ED04AB" w:rsidRPr="00ED04AB" w:rsidTr="00ED04AB">
        <w:trPr>
          <w:gridAfter w:val="2"/>
          <w:tblCellSpacing w:w="75" w:type="dxa"/>
        </w:trPr>
        <w:tc>
          <w:tcPr>
            <w:tcW w:w="0" w:type="auto"/>
            <w:hideMark/>
          </w:tcPr>
          <w:p w:rsidR="00ED04AB" w:rsidRPr="00ED04AB" w:rsidRDefault="00ED04AB" w:rsidP="00ED04AB">
            <w:pPr>
              <w:spacing w:before="100" w:beforeAutospacing="1" w:after="100" w:afterAutospacing="1" w:line="240" w:lineRule="auto"/>
              <w:jc w:val="center"/>
            </w:pPr>
            <w:r>
              <w:rPr>
                <w:noProof/>
              </w:rPr>
              <w:drawing>
                <wp:inline distT="0" distB="0" distL="0" distR="0">
                  <wp:extent cx="285750" cy="457200"/>
                  <wp:effectExtent l="19050" t="0" r="0" b="0"/>
                  <wp:docPr id="1" name="Picture 1" descr="/image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harp.jpg"/>
                          <pic:cNvPicPr>
                            <a:picLocks noChangeAspect="1" noChangeArrowheads="1"/>
                          </pic:cNvPicPr>
                        </pic:nvPicPr>
                        <pic:blipFill>
                          <a:blip r:embed="rId5" cstate="print"/>
                          <a:srcRect/>
                          <a:stretch>
                            <a:fillRect/>
                          </a:stretch>
                        </pic:blipFill>
                        <pic:spPr bwMode="auto">
                          <a:xfrm>
                            <a:off x="0" y="0"/>
                            <a:ext cx="285750" cy="457200"/>
                          </a:xfrm>
                          <a:prstGeom prst="rect">
                            <a:avLst/>
                          </a:prstGeom>
                          <a:noFill/>
                          <a:ln w="9525">
                            <a:noFill/>
                            <a:miter lim="800000"/>
                            <a:headEnd/>
                            <a:tailEnd/>
                          </a:ln>
                        </pic:spPr>
                      </pic:pic>
                    </a:graphicData>
                  </a:graphic>
                </wp:inline>
              </w:drawing>
            </w: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r w:rsidRPr="00ED04AB">
              <w:pict>
                <v:rect id="_x0000_i1025" style="width:0;height:1.5pt" o:hralign="center" o:hrstd="t" o:hr="t" fillcolor="#aca899" stroked="f"/>
              </w:pic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jc w:val="center"/>
            </w:pPr>
            <w:r w:rsidRPr="00ED04AB">
              <w:rPr>
                <w:i/>
                <w:iCs/>
              </w:rPr>
              <w:t>Number</w:t>
            </w:r>
            <w:r w:rsidRPr="00ED04AB">
              <w:t xml:space="preserve"> 19 </w:t>
            </w:r>
            <w:r w:rsidRPr="00ED04AB">
              <w:rPr>
                <w:i/>
                <w:iCs/>
              </w:rPr>
              <w:t>of</w:t>
            </w:r>
            <w:r w:rsidRPr="00ED04AB">
              <w:t xml:space="preserve"> 1999</w:t>
            </w: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r w:rsidRPr="00ED04AB">
              <w:pict>
                <v:rect id="_x0000_i1026" style="width:0;height:1.5pt" o:hralign="center" o:hrstd="t" o:hr="t" fillcolor="#aca899" stroked="f"/>
              </w:pic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jc w:val="center"/>
            </w:pPr>
            <w:r w:rsidRPr="00ED04AB">
              <w:rPr>
                <w:b/>
                <w:bCs/>
              </w:rPr>
              <w:t>ARCHITECTURAL HERITAGE (NATIONAL INVENTORY) AND HISTORIC MONUMENTS (MISCELLANEOUS PROVISIONS) ACT, 1999</w:t>
            </w: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r w:rsidRPr="00ED04AB">
              <w:pict>
                <v:rect id="_x0000_i1027" style="width:0;height:1.5pt" o:hralign="center" o:hrstd="t" o:hr="t" fillcolor="#aca899" stroked="f"/>
              </w:pic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jc w:val="center"/>
            </w:pPr>
            <w:r w:rsidRPr="00ED04AB">
              <w:t>ARRANGEMENT OF SECTIONS</w:t>
            </w: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795"/>
              <w:gridCol w:w="5556"/>
            </w:tblGrid>
            <w:tr w:rsidR="00ED04AB" w:rsidRPr="00ED04AB">
              <w:trPr>
                <w:tblCellSpacing w:w="15" w:type="dxa"/>
              </w:trPr>
              <w:tc>
                <w:tcPr>
                  <w:tcW w:w="0" w:type="auto"/>
                  <w:hideMark/>
                </w:tcPr>
                <w:p w:rsidR="00ED04AB" w:rsidRPr="00ED04AB" w:rsidRDefault="00ED04AB" w:rsidP="00ED04AB">
                  <w:pPr>
                    <w:spacing w:before="100" w:beforeAutospacing="1" w:after="100" w:afterAutospacing="1" w:line="240" w:lineRule="auto"/>
                    <w:jc w:val="right"/>
                  </w:pPr>
                  <w:r w:rsidRPr="00ED04AB">
                    <w:t>Section</w:t>
                  </w:r>
                </w:p>
              </w:tc>
              <w:tc>
                <w:tcPr>
                  <w:tcW w:w="0" w:type="auto"/>
                  <w:hideMark/>
                </w:tcPr>
                <w:p w:rsidR="00ED04AB" w:rsidRPr="00ED04AB" w:rsidRDefault="00ED04AB" w:rsidP="00ED04AB">
                  <w:pPr>
                    <w:spacing w:before="0" w:after="0" w:line="240" w:lineRule="auto"/>
                    <w:jc w:val="left"/>
                  </w:pPr>
                </w:p>
              </w:tc>
            </w:tr>
            <w:tr w:rsidR="00ED04AB" w:rsidRPr="00ED04AB">
              <w:trPr>
                <w:tblCellSpacing w:w="15" w:type="dxa"/>
              </w:trPr>
              <w:tc>
                <w:tcPr>
                  <w:tcW w:w="0" w:type="auto"/>
                  <w:hideMark/>
                </w:tcPr>
                <w:p w:rsidR="00ED04AB" w:rsidRPr="00ED04AB" w:rsidRDefault="00ED04AB" w:rsidP="00ED04AB">
                  <w:pPr>
                    <w:spacing w:before="100" w:beforeAutospacing="1" w:line="240" w:lineRule="auto"/>
                    <w:ind w:right="240"/>
                    <w:jc w:val="right"/>
                  </w:pPr>
                  <w:r w:rsidRPr="00ED04AB">
                    <w:t>1.</w:t>
                  </w:r>
                </w:p>
              </w:tc>
              <w:tc>
                <w:tcPr>
                  <w:tcW w:w="0" w:type="auto"/>
                  <w:hideMark/>
                </w:tcPr>
                <w:p w:rsidR="00ED04AB" w:rsidRPr="00ED04AB" w:rsidRDefault="00ED04AB" w:rsidP="00ED04AB">
                  <w:pPr>
                    <w:spacing w:before="100" w:beforeAutospacing="1" w:line="240" w:lineRule="auto"/>
                    <w:ind w:left="600" w:hanging="600"/>
                    <w:jc w:val="left"/>
                  </w:pPr>
                  <w:hyperlink r:id="rId6" w:anchor="sec1" w:history="1">
                    <w:r w:rsidRPr="00ED04AB">
                      <w:rPr>
                        <w:color w:val="0000FF"/>
                        <w:u w:val="single"/>
                      </w:rPr>
                      <w:t>Interpretation.</w:t>
                    </w:r>
                  </w:hyperlink>
                </w:p>
              </w:tc>
            </w:tr>
            <w:tr w:rsidR="00ED04AB" w:rsidRPr="00ED04AB">
              <w:trPr>
                <w:tblCellSpacing w:w="15" w:type="dxa"/>
              </w:trPr>
              <w:tc>
                <w:tcPr>
                  <w:tcW w:w="0" w:type="auto"/>
                  <w:hideMark/>
                </w:tcPr>
                <w:p w:rsidR="00ED04AB" w:rsidRPr="00ED04AB" w:rsidRDefault="00ED04AB" w:rsidP="00ED04AB">
                  <w:pPr>
                    <w:spacing w:before="100" w:beforeAutospacing="1" w:line="240" w:lineRule="auto"/>
                    <w:ind w:right="240"/>
                    <w:jc w:val="right"/>
                  </w:pPr>
                  <w:r w:rsidRPr="00ED04AB">
                    <w:t>2.</w:t>
                  </w:r>
                </w:p>
              </w:tc>
              <w:tc>
                <w:tcPr>
                  <w:tcW w:w="0" w:type="auto"/>
                  <w:hideMark/>
                </w:tcPr>
                <w:p w:rsidR="00ED04AB" w:rsidRPr="00ED04AB" w:rsidRDefault="00ED04AB" w:rsidP="00ED04AB">
                  <w:pPr>
                    <w:spacing w:before="100" w:beforeAutospacing="1" w:line="240" w:lineRule="auto"/>
                    <w:ind w:left="600" w:hanging="600"/>
                    <w:jc w:val="left"/>
                  </w:pPr>
                  <w:hyperlink r:id="rId7" w:anchor="sec2" w:history="1">
                    <w:r w:rsidRPr="00ED04AB">
                      <w:rPr>
                        <w:color w:val="0000FF"/>
                        <w:u w:val="single"/>
                      </w:rPr>
                      <w:t>Establishment and maintenance of the inventory.</w:t>
                    </w:r>
                  </w:hyperlink>
                </w:p>
              </w:tc>
            </w:tr>
            <w:tr w:rsidR="00ED04AB" w:rsidRPr="00ED04AB">
              <w:trPr>
                <w:tblCellSpacing w:w="15" w:type="dxa"/>
              </w:trPr>
              <w:tc>
                <w:tcPr>
                  <w:tcW w:w="0" w:type="auto"/>
                  <w:hideMark/>
                </w:tcPr>
                <w:p w:rsidR="00ED04AB" w:rsidRPr="00ED04AB" w:rsidRDefault="00ED04AB" w:rsidP="00ED04AB">
                  <w:pPr>
                    <w:spacing w:before="100" w:beforeAutospacing="1" w:line="240" w:lineRule="auto"/>
                    <w:ind w:right="240"/>
                    <w:jc w:val="right"/>
                  </w:pPr>
                  <w:r w:rsidRPr="00ED04AB">
                    <w:t>3.</w:t>
                  </w:r>
                </w:p>
              </w:tc>
              <w:tc>
                <w:tcPr>
                  <w:tcW w:w="0" w:type="auto"/>
                  <w:hideMark/>
                </w:tcPr>
                <w:p w:rsidR="00ED04AB" w:rsidRPr="00ED04AB" w:rsidRDefault="00ED04AB" w:rsidP="00ED04AB">
                  <w:pPr>
                    <w:spacing w:before="100" w:beforeAutospacing="1" w:line="240" w:lineRule="auto"/>
                    <w:ind w:left="600" w:hanging="600"/>
                    <w:jc w:val="left"/>
                  </w:pPr>
                  <w:hyperlink r:id="rId8" w:anchor="sec3" w:history="1">
                    <w:r w:rsidRPr="00ED04AB">
                      <w:rPr>
                        <w:color w:val="0000FF"/>
                        <w:u w:val="single"/>
                      </w:rPr>
                      <w:t>Appointment and functions of authorised officers.</w:t>
                    </w:r>
                  </w:hyperlink>
                </w:p>
              </w:tc>
            </w:tr>
            <w:tr w:rsidR="00ED04AB" w:rsidRPr="00ED04AB">
              <w:trPr>
                <w:tblCellSpacing w:w="15" w:type="dxa"/>
              </w:trPr>
              <w:tc>
                <w:tcPr>
                  <w:tcW w:w="0" w:type="auto"/>
                  <w:hideMark/>
                </w:tcPr>
                <w:p w:rsidR="00ED04AB" w:rsidRPr="00ED04AB" w:rsidRDefault="00ED04AB" w:rsidP="00ED04AB">
                  <w:pPr>
                    <w:spacing w:before="100" w:beforeAutospacing="1" w:line="240" w:lineRule="auto"/>
                    <w:ind w:right="240"/>
                    <w:jc w:val="right"/>
                  </w:pPr>
                  <w:r w:rsidRPr="00ED04AB">
                    <w:t>4.</w:t>
                  </w:r>
                </w:p>
              </w:tc>
              <w:tc>
                <w:tcPr>
                  <w:tcW w:w="0" w:type="auto"/>
                  <w:hideMark/>
                </w:tcPr>
                <w:p w:rsidR="00ED04AB" w:rsidRPr="00ED04AB" w:rsidRDefault="00ED04AB" w:rsidP="00ED04AB">
                  <w:pPr>
                    <w:spacing w:before="100" w:beforeAutospacing="1" w:line="240" w:lineRule="auto"/>
                    <w:ind w:left="600" w:hanging="600"/>
                    <w:jc w:val="left"/>
                  </w:pPr>
                  <w:hyperlink r:id="rId9" w:anchor="sec4" w:history="1">
                    <w:r w:rsidRPr="00ED04AB">
                      <w:rPr>
                        <w:color w:val="0000FF"/>
                        <w:u w:val="single"/>
                      </w:rPr>
                      <w:t>Offence and penalty.</w:t>
                    </w:r>
                  </w:hyperlink>
                </w:p>
              </w:tc>
            </w:tr>
            <w:tr w:rsidR="00ED04AB" w:rsidRPr="00ED04AB">
              <w:trPr>
                <w:tblCellSpacing w:w="15" w:type="dxa"/>
              </w:trPr>
              <w:tc>
                <w:tcPr>
                  <w:tcW w:w="0" w:type="auto"/>
                  <w:hideMark/>
                </w:tcPr>
                <w:p w:rsidR="00ED04AB" w:rsidRPr="00ED04AB" w:rsidRDefault="00ED04AB" w:rsidP="00ED04AB">
                  <w:pPr>
                    <w:spacing w:before="100" w:beforeAutospacing="1" w:line="240" w:lineRule="auto"/>
                    <w:ind w:right="240"/>
                    <w:jc w:val="right"/>
                  </w:pPr>
                  <w:r w:rsidRPr="00ED04AB">
                    <w:t>5.</w:t>
                  </w:r>
                </w:p>
              </w:tc>
              <w:tc>
                <w:tcPr>
                  <w:tcW w:w="0" w:type="auto"/>
                  <w:hideMark/>
                </w:tcPr>
                <w:p w:rsidR="00ED04AB" w:rsidRPr="00ED04AB" w:rsidRDefault="00ED04AB" w:rsidP="00ED04AB">
                  <w:pPr>
                    <w:spacing w:before="100" w:beforeAutospacing="1" w:line="240" w:lineRule="auto"/>
                    <w:ind w:left="600" w:hanging="600"/>
                    <w:jc w:val="left"/>
                  </w:pPr>
                  <w:hyperlink r:id="rId10" w:anchor="sec5" w:history="1">
                    <w:r w:rsidRPr="00ED04AB">
                      <w:rPr>
                        <w:color w:val="0000FF"/>
                        <w:u w:val="single"/>
                      </w:rPr>
                      <w:t>Obligations of sanitary authorities in respect of registered historic monuments.</w:t>
                    </w:r>
                  </w:hyperlink>
                </w:p>
              </w:tc>
            </w:tr>
            <w:tr w:rsidR="00ED04AB" w:rsidRPr="00ED04AB">
              <w:trPr>
                <w:tblCellSpacing w:w="15" w:type="dxa"/>
              </w:trPr>
              <w:tc>
                <w:tcPr>
                  <w:tcW w:w="0" w:type="auto"/>
                  <w:hideMark/>
                </w:tcPr>
                <w:p w:rsidR="00ED04AB" w:rsidRPr="00ED04AB" w:rsidRDefault="00ED04AB" w:rsidP="00ED04AB">
                  <w:pPr>
                    <w:spacing w:before="100" w:beforeAutospacing="1" w:line="240" w:lineRule="auto"/>
                    <w:ind w:right="240"/>
                    <w:jc w:val="right"/>
                  </w:pPr>
                  <w:r w:rsidRPr="00ED04AB">
                    <w:t>6.</w:t>
                  </w:r>
                </w:p>
              </w:tc>
              <w:tc>
                <w:tcPr>
                  <w:tcW w:w="0" w:type="auto"/>
                  <w:hideMark/>
                </w:tcPr>
                <w:p w:rsidR="00ED04AB" w:rsidRPr="00ED04AB" w:rsidRDefault="00ED04AB" w:rsidP="00ED04AB">
                  <w:pPr>
                    <w:spacing w:before="100" w:beforeAutospacing="1" w:line="240" w:lineRule="auto"/>
                    <w:ind w:left="600" w:hanging="600"/>
                    <w:jc w:val="left"/>
                  </w:pPr>
                  <w:hyperlink r:id="rId11" w:anchor="sec6" w:history="1">
                    <w:r w:rsidRPr="00ED04AB">
                      <w:rPr>
                        <w:color w:val="0000FF"/>
                        <w:u w:val="single"/>
                      </w:rPr>
                      <w:t>Expenses of Minister.</w:t>
                    </w:r>
                  </w:hyperlink>
                </w:p>
              </w:tc>
            </w:tr>
            <w:tr w:rsidR="00ED04AB" w:rsidRPr="00ED04AB">
              <w:trPr>
                <w:tblCellSpacing w:w="15" w:type="dxa"/>
              </w:trPr>
              <w:tc>
                <w:tcPr>
                  <w:tcW w:w="0" w:type="auto"/>
                  <w:hideMark/>
                </w:tcPr>
                <w:p w:rsidR="00ED04AB" w:rsidRPr="00ED04AB" w:rsidRDefault="00ED04AB" w:rsidP="00ED04AB">
                  <w:pPr>
                    <w:spacing w:before="100" w:beforeAutospacing="1" w:line="240" w:lineRule="auto"/>
                    <w:ind w:right="240"/>
                    <w:jc w:val="right"/>
                  </w:pPr>
                  <w:r w:rsidRPr="00ED04AB">
                    <w:t>7.</w:t>
                  </w:r>
                </w:p>
              </w:tc>
              <w:tc>
                <w:tcPr>
                  <w:tcW w:w="0" w:type="auto"/>
                  <w:hideMark/>
                </w:tcPr>
                <w:p w:rsidR="00ED04AB" w:rsidRPr="00ED04AB" w:rsidRDefault="00ED04AB" w:rsidP="00ED04AB">
                  <w:pPr>
                    <w:spacing w:before="100" w:beforeAutospacing="1" w:line="240" w:lineRule="auto"/>
                    <w:ind w:left="600" w:hanging="600"/>
                    <w:jc w:val="left"/>
                  </w:pPr>
                  <w:hyperlink r:id="rId12" w:anchor="sec7" w:history="1">
                    <w:r w:rsidRPr="00ED04AB">
                      <w:rPr>
                        <w:color w:val="0000FF"/>
                        <w:u w:val="single"/>
                      </w:rPr>
                      <w:t>Short title.</w:t>
                    </w:r>
                  </w:hyperlink>
                </w:p>
              </w:tc>
            </w:tr>
          </w:tbl>
          <w:p w:rsidR="00ED04AB" w:rsidRPr="00ED04AB" w:rsidRDefault="00ED04AB" w:rsidP="00ED04AB">
            <w:pPr>
              <w:spacing w:before="0" w:after="0" w:line="240" w:lineRule="auto"/>
              <w:jc w:val="left"/>
            </w:pP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tbl>
            <w:tblPr>
              <w:tblW w:w="5000" w:type="pct"/>
              <w:tblCellSpacing w:w="15" w:type="dxa"/>
              <w:tblCellMar>
                <w:top w:w="15" w:type="dxa"/>
                <w:left w:w="15" w:type="dxa"/>
                <w:bottom w:w="15" w:type="dxa"/>
                <w:right w:w="15" w:type="dxa"/>
              </w:tblCellMar>
              <w:tblLook w:val="04A0"/>
            </w:tblPr>
            <w:tblGrid>
              <w:gridCol w:w="84"/>
              <w:gridCol w:w="5120"/>
              <w:gridCol w:w="1147"/>
            </w:tblGrid>
            <w:tr w:rsidR="00ED04AB" w:rsidRPr="00ED04AB">
              <w:trPr>
                <w:tblCellSpacing w:w="15" w:type="dxa"/>
              </w:trPr>
              <w:tc>
                <w:tcPr>
                  <w:tcW w:w="0" w:type="auto"/>
                  <w:gridSpan w:val="3"/>
                  <w:hideMark/>
                </w:tcPr>
                <w:p w:rsidR="00ED04AB" w:rsidRPr="00ED04AB" w:rsidRDefault="00ED04AB" w:rsidP="00ED04AB">
                  <w:pPr>
                    <w:spacing w:before="100" w:beforeAutospacing="1" w:after="100" w:afterAutospacing="1" w:line="240" w:lineRule="auto"/>
                    <w:jc w:val="center"/>
                  </w:pPr>
                  <w:r w:rsidRPr="00ED04AB">
                    <w:rPr>
                      <w:sz w:val="20"/>
                      <w:szCs w:val="20"/>
                    </w:rPr>
                    <w:t>Acts Referred to</w:t>
                  </w:r>
                </w:p>
              </w:tc>
            </w:tr>
            <w:tr w:rsidR="00ED04AB" w:rsidRPr="00ED04AB">
              <w:trPr>
                <w:tblCellSpacing w:w="1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jc w:val="left"/>
                  </w:pPr>
                  <w:r w:rsidRPr="00ED04AB">
                    <w:rPr>
                      <w:sz w:val="20"/>
                      <w:szCs w:val="20"/>
                    </w:rPr>
                    <w:t>Local Government (Planning and Development) Act, 1963</w:t>
                  </w:r>
                </w:p>
              </w:tc>
              <w:tc>
                <w:tcPr>
                  <w:tcW w:w="0" w:type="auto"/>
                  <w:hideMark/>
                </w:tcPr>
                <w:p w:rsidR="00ED04AB" w:rsidRPr="00ED04AB" w:rsidRDefault="00ED04AB" w:rsidP="00ED04AB">
                  <w:pPr>
                    <w:spacing w:line="240" w:lineRule="auto"/>
                    <w:jc w:val="left"/>
                  </w:pPr>
                  <w:r w:rsidRPr="00ED04AB">
                    <w:rPr>
                      <w:sz w:val="20"/>
                      <w:szCs w:val="20"/>
                    </w:rPr>
                    <w:t>1963, No 28</w:t>
                  </w:r>
                </w:p>
              </w:tc>
            </w:tr>
            <w:tr w:rsidR="00ED04AB" w:rsidRPr="00ED04AB">
              <w:trPr>
                <w:tblCellSpacing w:w="1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rPr>
                      <w:sz w:val="20"/>
                      <w:szCs w:val="20"/>
                    </w:rPr>
                    <w:t>Local Government (Sanitary Services) Act, 1964</w:t>
                  </w:r>
                </w:p>
              </w:tc>
              <w:tc>
                <w:tcPr>
                  <w:tcW w:w="0" w:type="auto"/>
                  <w:hideMark/>
                </w:tcPr>
                <w:p w:rsidR="00ED04AB" w:rsidRPr="00ED04AB" w:rsidRDefault="00ED04AB" w:rsidP="00ED04AB">
                  <w:pPr>
                    <w:spacing w:before="100" w:beforeAutospacing="1" w:line="240" w:lineRule="auto"/>
                    <w:jc w:val="left"/>
                  </w:pPr>
                  <w:r w:rsidRPr="00ED04AB">
                    <w:rPr>
                      <w:sz w:val="20"/>
                      <w:szCs w:val="20"/>
                    </w:rPr>
                    <w:t>1964, No 29</w:t>
                  </w:r>
                </w:p>
              </w:tc>
            </w:tr>
            <w:tr w:rsidR="00ED04AB" w:rsidRPr="00ED04AB">
              <w:trPr>
                <w:tblCellSpacing w:w="1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rPr>
                      <w:sz w:val="20"/>
                      <w:szCs w:val="20"/>
                    </w:rPr>
                    <w:t>National Monuments Acts, 1930 to 1994</w:t>
                  </w:r>
                </w:p>
              </w:tc>
              <w:tc>
                <w:tcPr>
                  <w:tcW w:w="0" w:type="auto"/>
                  <w:hideMark/>
                </w:tcPr>
                <w:p w:rsidR="00ED04AB" w:rsidRPr="00ED04AB" w:rsidRDefault="00ED04AB" w:rsidP="00ED04AB">
                  <w:pPr>
                    <w:spacing w:before="0" w:after="0" w:line="240" w:lineRule="auto"/>
                    <w:jc w:val="left"/>
                  </w:pPr>
                </w:p>
              </w:tc>
            </w:tr>
            <w:tr w:rsidR="00ED04AB" w:rsidRPr="00ED04AB">
              <w:trPr>
                <w:tblCellSpacing w:w="1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rPr>
                      <w:sz w:val="20"/>
                      <w:szCs w:val="20"/>
                    </w:rPr>
                    <w:t>National Monuments (Amendment) Act, 1987</w:t>
                  </w:r>
                </w:p>
              </w:tc>
              <w:tc>
                <w:tcPr>
                  <w:tcW w:w="0" w:type="auto"/>
                  <w:hideMark/>
                </w:tcPr>
                <w:p w:rsidR="00ED04AB" w:rsidRPr="00ED04AB" w:rsidRDefault="00ED04AB" w:rsidP="00ED04AB">
                  <w:pPr>
                    <w:spacing w:before="100" w:beforeAutospacing="1" w:line="240" w:lineRule="auto"/>
                    <w:jc w:val="left"/>
                  </w:pPr>
                  <w:r w:rsidRPr="00ED04AB">
                    <w:rPr>
                      <w:sz w:val="20"/>
                      <w:szCs w:val="20"/>
                    </w:rPr>
                    <w:t>1987, No 17</w:t>
                  </w:r>
                </w:p>
              </w:tc>
            </w:tr>
          </w:tbl>
          <w:p w:rsidR="00ED04AB" w:rsidRPr="00ED04AB" w:rsidRDefault="00ED04AB" w:rsidP="00ED04AB">
            <w:pPr>
              <w:spacing w:before="0" w:after="0" w:line="240" w:lineRule="auto"/>
              <w:jc w:val="left"/>
            </w:pP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center"/>
            </w:pPr>
            <w:r>
              <w:rPr>
                <w:noProof/>
              </w:rPr>
              <w:drawing>
                <wp:inline distT="0" distB="0" distL="0" distR="0">
                  <wp:extent cx="285750" cy="457200"/>
                  <wp:effectExtent l="19050" t="0" r="0" b="0"/>
                  <wp:docPr id="5" name="Picture 5" descr="/images/har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s/harp.jpg"/>
                          <pic:cNvPicPr>
                            <a:picLocks noChangeAspect="1" noChangeArrowheads="1"/>
                          </pic:cNvPicPr>
                        </pic:nvPicPr>
                        <pic:blipFill>
                          <a:blip r:embed="rId5" cstate="print"/>
                          <a:srcRect/>
                          <a:stretch>
                            <a:fillRect/>
                          </a:stretch>
                        </pic:blipFill>
                        <pic:spPr bwMode="auto">
                          <a:xfrm>
                            <a:off x="0" y="0"/>
                            <a:ext cx="285750" cy="457200"/>
                          </a:xfrm>
                          <a:prstGeom prst="rect">
                            <a:avLst/>
                          </a:prstGeom>
                          <a:noFill/>
                          <a:ln w="9525">
                            <a:noFill/>
                            <a:miter lim="800000"/>
                            <a:headEnd/>
                            <a:tailEnd/>
                          </a:ln>
                        </pic:spPr>
                      </pic:pic>
                    </a:graphicData>
                  </a:graphic>
                </wp:inline>
              </w:drawing>
            </w: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r w:rsidRPr="00ED04AB">
              <w:pict>
                <v:rect id="_x0000_i1028" style="width:0;height:1.5pt" o:hralign="center" o:hrstd="t" o:hr="t" fillcolor="#aca899" stroked="f"/>
              </w:pic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jc w:val="center"/>
            </w:pPr>
            <w:r w:rsidRPr="00ED04AB">
              <w:rPr>
                <w:i/>
                <w:iCs/>
              </w:rPr>
              <w:t>Number</w:t>
            </w:r>
            <w:r w:rsidRPr="00ED04AB">
              <w:t xml:space="preserve"> 19 </w:t>
            </w:r>
            <w:r w:rsidRPr="00ED04AB">
              <w:rPr>
                <w:i/>
                <w:iCs/>
              </w:rPr>
              <w:t>of</w:t>
            </w:r>
            <w:r w:rsidRPr="00ED04AB">
              <w:t xml:space="preserve"> 1999</w:t>
            </w: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r w:rsidRPr="00ED04AB">
              <w:pict>
                <v:rect id="_x0000_i1029" style="width:0;height:1.5pt" o:hralign="center" o:hrstd="t" o:hr="t" fillcolor="#aca899" stroked="f"/>
              </w:pic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jc w:val="center"/>
            </w:pPr>
            <w:r w:rsidRPr="00ED04AB">
              <w:rPr>
                <w:b/>
                <w:bCs/>
              </w:rPr>
              <w:t xml:space="preserve">ARCHITECTURAL HERITAGE (NATIONAL INVENTORY) AND HISTORIC MONUMENTS </w:t>
            </w:r>
            <w:r w:rsidRPr="00ED04AB">
              <w:rPr>
                <w:b/>
                <w:bCs/>
              </w:rPr>
              <w:lastRenderedPageBreak/>
              <w:t>(MISCELLANEOUS PROVISIONS) ACT, 1999</w:t>
            </w:r>
          </w:p>
        </w:tc>
      </w:tr>
      <w:tr w:rsidR="00ED04AB" w:rsidRPr="00ED04AB" w:rsidTr="00ED04AB">
        <w:trPr>
          <w:tblCellSpacing w:w="75" w:type="dxa"/>
        </w:trPr>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r w:rsidRPr="00ED04AB">
              <w:pict>
                <v:rect id="_x0000_i1030" style="width:0;height:1.5pt" o:hralign="center" o:hrstd="t" o:hr="t" fillcolor="#aca899" stroked="f"/>
              </w:pic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ind w:left="360" w:hanging="360"/>
              <w:jc w:val="left"/>
            </w:pPr>
            <w:r w:rsidRPr="00ED04AB">
              <w:t>AN ACT TO PROVIDE FOR THE ESTABLISHMENT OF A NATIONAL INVENTORY OF ARCHITECTURAL HERITAGE AND FOR RELATED MATTERS AND TO PROVIDE FOR THE OBLIGATIONS OF SANITARY AUTHORITIES IN RESPECT OF REGISTERED HISTORIC MONUMENTS. [6</w:t>
            </w:r>
            <w:r w:rsidRPr="00ED04AB">
              <w:rPr>
                <w:i/>
                <w:iCs/>
              </w:rPr>
              <w:t>th July</w:t>
            </w:r>
            <w:r w:rsidRPr="00ED04AB">
              <w:t>, 1999]</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line="240" w:lineRule="auto"/>
              <w:ind w:left="240"/>
              <w:jc w:val="left"/>
            </w:pPr>
            <w:r w:rsidRPr="00ED04AB">
              <w:t>BE IT ENACTED BY THE OIREACHTAS AS FOLLOWS: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left"/>
            </w:pPr>
            <w:bookmarkStart w:id="0" w:name="sec1"/>
            <w:bookmarkEnd w:id="0"/>
            <w:r w:rsidRPr="00ED04AB">
              <w:rPr>
                <w:sz w:val="20"/>
                <w:szCs w:val="20"/>
              </w:rPr>
              <w:t>Interpretation.</w:t>
            </w:r>
          </w:p>
        </w:tc>
        <w:tc>
          <w:tcPr>
            <w:tcW w:w="0" w:type="auto"/>
            <w:hideMark/>
          </w:tcPr>
          <w:p w:rsidR="00ED04AB" w:rsidRPr="00ED04AB" w:rsidRDefault="00ED04AB" w:rsidP="00ED04AB">
            <w:pPr>
              <w:spacing w:before="100" w:beforeAutospacing="1" w:line="240" w:lineRule="auto"/>
              <w:ind w:firstLine="240"/>
              <w:jc w:val="left"/>
            </w:pPr>
            <w:bookmarkStart w:id="1" w:name="s1_p0"/>
            <w:bookmarkEnd w:id="1"/>
            <w:r w:rsidRPr="00ED04AB">
              <w:rPr>
                <w:b/>
                <w:bCs/>
              </w:rPr>
              <w:t>1.</w:t>
            </w:r>
            <w:r w:rsidRPr="00ED04AB">
              <w:t>—(1) In this Act—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 w:name="s1_p1"/>
            <w:bookmarkEnd w:id="2"/>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“architectural heritage” means all—</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 w:name="s1_p2"/>
            <w:bookmarkEnd w:id="3"/>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r w:rsidRPr="00ED04AB">
              <w:rPr>
                <w:i/>
                <w:iCs/>
              </w:rPr>
              <w:t>a</w:t>
            </w:r>
            <w:r w:rsidRPr="00ED04AB">
              <w:t>) structures and buildings together with their settings and attendant grounds, fixtures and fittings,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 w:name="s1_p3"/>
            <w:bookmarkEnd w:id="4"/>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proofErr w:type="spellStart"/>
            <w:r w:rsidRPr="00ED04AB">
              <w:rPr>
                <w:i/>
                <w:iCs/>
              </w:rPr>
              <w:t>b</w:t>
            </w:r>
            <w:proofErr w:type="spellEnd"/>
            <w:r w:rsidRPr="00ED04AB">
              <w:t>) groups of such structures and buildings, and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 w:name="s1_p4"/>
            <w:bookmarkEnd w:id="5"/>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r w:rsidRPr="00ED04AB">
              <w:rPr>
                <w:i/>
                <w:iCs/>
              </w:rPr>
              <w:t>c</w:t>
            </w:r>
            <w:r w:rsidRPr="00ED04AB">
              <w:t>) sites,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6" w:name="s1_p5"/>
            <w:bookmarkEnd w:id="6"/>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which are of architectural, historical, archaeological, artistic, cultural, scientific, social or technical interest;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7" w:name="s1_p6"/>
            <w:bookmarkEnd w:id="7"/>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 xml:space="preserve">“authorised officer” means a person appointed under </w:t>
            </w:r>
            <w:hyperlink r:id="rId13" w:anchor="sec3" w:history="1">
              <w:r w:rsidRPr="00ED04AB">
                <w:rPr>
                  <w:i/>
                  <w:iCs/>
                  <w:color w:val="0000FF"/>
                  <w:u w:val="single"/>
                </w:rPr>
                <w:t>section 3</w:t>
              </w:r>
            </w:hyperlink>
            <w:r w:rsidRPr="00ED04AB">
              <w:rPr>
                <w:i/>
                <w:iCs/>
              </w:rPr>
              <w:t xml:space="preserve"> (1)</w:t>
            </w:r>
            <w:r w:rsidRPr="00ED04AB">
              <w:t xml:space="preserve"> as an authorised officer;</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8" w:name="s1_p7"/>
            <w:bookmarkEnd w:id="8"/>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“functions” includes powers and duties;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9" w:name="s1_p8"/>
            <w:bookmarkEnd w:id="9"/>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 xml:space="preserve">“the inventory” means the National Inventory of Architectural Heritage established under </w:t>
            </w:r>
            <w:hyperlink r:id="rId14" w:anchor="sec2" w:history="1">
              <w:r w:rsidRPr="00ED04AB">
                <w:rPr>
                  <w:i/>
                  <w:iCs/>
                  <w:color w:val="0000FF"/>
                  <w:u w:val="single"/>
                </w:rPr>
                <w:t>section 2</w:t>
              </w:r>
            </w:hyperlink>
            <w:r w:rsidRPr="00ED04AB">
              <w:rPr>
                <w:i/>
                <w:iCs/>
              </w:rPr>
              <w:t xml:space="preserve"> (1)</w:t>
            </w:r>
            <w:r w:rsidRPr="00ED04AB">
              <w: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0" w:name="s1_p9"/>
            <w:bookmarkEnd w:id="10"/>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 xml:space="preserve">“the Minister” means the Minister for Arts, Heritage, </w:t>
            </w:r>
            <w:proofErr w:type="spellStart"/>
            <w:r w:rsidRPr="00ED04AB">
              <w:t>Gaeltacht</w:t>
            </w:r>
            <w:proofErr w:type="spellEnd"/>
            <w:r w:rsidRPr="00ED04AB">
              <w:t xml:space="preserve"> and the Islands;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1" w:name="s1_p10"/>
            <w:bookmarkEnd w:id="11"/>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“premises” includes land, structures and buildings;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2" w:name="s1_p11"/>
            <w:bookmarkEnd w:id="12"/>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w:t>
            </w:r>
            <w:proofErr w:type="gramStart"/>
            <w:r w:rsidRPr="00ED04AB">
              <w:t>site</w:t>
            </w:r>
            <w:proofErr w:type="gramEnd"/>
            <w:r w:rsidRPr="00ED04AB">
              <w:t>” means an area which is partially built upon and is sufficiently distinctive and homogeneous to be topographically definable.</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3" w:name="s1_p12"/>
            <w:bookmarkEnd w:id="13"/>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(2) In this Act—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4" w:name="s1_p13"/>
            <w:bookmarkEnd w:id="14"/>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r w:rsidRPr="00ED04AB">
              <w:rPr>
                <w:i/>
                <w:iCs/>
              </w:rPr>
              <w:t>a</w:t>
            </w:r>
            <w:r w:rsidRPr="00ED04AB">
              <w:t xml:space="preserve">) a reference to a section is to a section of this Act unless it is indicated that a reference to some other enactment </w:t>
            </w:r>
            <w:r w:rsidRPr="00ED04AB">
              <w:lastRenderedPageBreak/>
              <w:t>is intended,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5" w:name="s1_p14"/>
            <w:bookmarkEnd w:id="15"/>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proofErr w:type="spellStart"/>
            <w:r w:rsidRPr="00ED04AB">
              <w:rPr>
                <w:i/>
                <w:iCs/>
              </w:rPr>
              <w:t>b</w:t>
            </w:r>
            <w:proofErr w:type="spellEnd"/>
            <w:r w:rsidRPr="00ED04AB">
              <w:t>) a reference to a subsection is to a subsection of the provision in which the reference occurs unless it is indicated that a reference to some other provision is intended, and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6" w:name="s1_p15"/>
            <w:bookmarkEnd w:id="16"/>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r w:rsidRPr="00ED04AB">
              <w:rPr>
                <w:i/>
                <w:iCs/>
              </w:rPr>
              <w:t>c</w:t>
            </w:r>
            <w:r w:rsidRPr="00ED04AB">
              <w:t xml:space="preserve">) </w:t>
            </w:r>
            <w:proofErr w:type="gramStart"/>
            <w:r w:rsidRPr="00ED04AB">
              <w:t>a</w:t>
            </w:r>
            <w:proofErr w:type="gramEnd"/>
            <w:r w:rsidRPr="00ED04AB">
              <w:t xml:space="preserve"> reference to another enactment is to that enactment as amended or modified at any time by any enactment.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left"/>
            </w:pPr>
            <w:bookmarkStart w:id="17" w:name="sec2"/>
            <w:bookmarkEnd w:id="17"/>
            <w:r w:rsidRPr="00ED04AB">
              <w:rPr>
                <w:sz w:val="20"/>
                <w:szCs w:val="20"/>
              </w:rPr>
              <w:t>Establishment and maintenance of the inventory.</w:t>
            </w:r>
          </w:p>
        </w:tc>
        <w:tc>
          <w:tcPr>
            <w:tcW w:w="0" w:type="auto"/>
            <w:hideMark/>
          </w:tcPr>
          <w:p w:rsidR="00ED04AB" w:rsidRPr="00ED04AB" w:rsidRDefault="00ED04AB" w:rsidP="00ED04AB">
            <w:pPr>
              <w:spacing w:before="100" w:beforeAutospacing="1" w:line="240" w:lineRule="auto"/>
              <w:ind w:firstLine="240"/>
              <w:jc w:val="left"/>
            </w:pPr>
            <w:bookmarkStart w:id="18" w:name="s2_p0"/>
            <w:bookmarkEnd w:id="18"/>
            <w:r w:rsidRPr="00ED04AB">
              <w:rPr>
                <w:b/>
                <w:bCs/>
              </w:rPr>
              <w:t>2.</w:t>
            </w:r>
            <w:r w:rsidRPr="00ED04AB">
              <w:t>—(1) The Minister shall cause to be established and maintained an inventory to be known as the National Inventory of Architectural Heritage.</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19" w:name="s2_p1"/>
            <w:bookmarkEnd w:id="19"/>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(2) The Minister may do any or all of the following:</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0" w:name="s2_p2"/>
            <w:bookmarkEnd w:id="20"/>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480"/>
              <w:jc w:val="left"/>
            </w:pPr>
            <w:r w:rsidRPr="00ED04AB">
              <w:t>(</w:t>
            </w:r>
            <w:r w:rsidRPr="00ED04AB">
              <w:rPr>
                <w:i/>
                <w:iCs/>
              </w:rPr>
              <w:t>a</w:t>
            </w:r>
            <w:r w:rsidRPr="00ED04AB">
              <w:t>) determine the form and content of the inventory;</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1" w:name="s2_p3"/>
            <w:bookmarkEnd w:id="21"/>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480"/>
              <w:jc w:val="left"/>
            </w:pPr>
            <w:r w:rsidRPr="00ED04AB">
              <w:t>(</w:t>
            </w:r>
            <w:proofErr w:type="spellStart"/>
            <w:r w:rsidRPr="00ED04AB">
              <w:rPr>
                <w:i/>
                <w:iCs/>
              </w:rPr>
              <w:t>b</w:t>
            </w:r>
            <w:proofErr w:type="spellEnd"/>
            <w:r w:rsidRPr="00ED04AB">
              <w:t>) designate for the purposes of the inventory categories of architectural heritage;</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2" w:name="s2_p4"/>
            <w:bookmarkEnd w:id="22"/>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480"/>
              <w:jc w:val="left"/>
            </w:pPr>
            <w:r w:rsidRPr="00ED04AB">
              <w:t>(</w:t>
            </w:r>
            <w:r w:rsidRPr="00ED04AB">
              <w:rPr>
                <w:i/>
                <w:iCs/>
              </w:rPr>
              <w:t>c</w:t>
            </w:r>
            <w:r w:rsidRPr="00ED04AB">
              <w:t>) cause the designated category or categories to which each entry in the inventory belongs to be specified in the inventory;</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3" w:name="s2_p5"/>
            <w:bookmarkEnd w:id="23"/>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480"/>
              <w:jc w:val="left"/>
            </w:pPr>
            <w:r w:rsidRPr="00ED04AB">
              <w:t>(</w:t>
            </w:r>
            <w:r w:rsidRPr="00ED04AB">
              <w:rPr>
                <w:i/>
                <w:iCs/>
              </w:rPr>
              <w:t>d</w:t>
            </w:r>
            <w:r w:rsidRPr="00ED04AB">
              <w:t xml:space="preserve">) </w:t>
            </w:r>
            <w:proofErr w:type="gramStart"/>
            <w:r w:rsidRPr="00ED04AB">
              <w:t>cause</w:t>
            </w:r>
            <w:proofErr w:type="gramEnd"/>
            <w:r w:rsidRPr="00ED04AB">
              <w:t xml:space="preserve"> an entry in the inventory to be amended or deleted.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4" w:name="s2_p6"/>
            <w:bookmarkEnd w:id="24"/>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840"/>
              <w:jc w:val="left"/>
            </w:pPr>
            <w:r w:rsidRPr="00ED04AB">
              <w:t>(3) (</w:t>
            </w:r>
            <w:r w:rsidRPr="00ED04AB">
              <w:rPr>
                <w:i/>
                <w:iCs/>
              </w:rPr>
              <w:t>a</w:t>
            </w:r>
            <w:r w:rsidRPr="00ED04AB">
              <w:t>) The Minister may make information contained in the inventory available to a planning authority but solely for the purpose of the exercise by the authority of its statutory functions (including planning and development) relating to architectural heritage.</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5" w:name="s2_p7"/>
            <w:bookmarkEnd w:id="25"/>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480"/>
              <w:jc w:val="left"/>
            </w:pPr>
            <w:r w:rsidRPr="00ED04AB">
              <w:t>(</w:t>
            </w:r>
            <w:proofErr w:type="spellStart"/>
            <w:r w:rsidRPr="00ED04AB">
              <w:rPr>
                <w:i/>
                <w:iCs/>
              </w:rPr>
              <w:t>b</w:t>
            </w:r>
            <w:proofErr w:type="spellEnd"/>
            <w:r w:rsidRPr="00ED04AB">
              <w:t>) The Minister may publish information from the inventory and in so doing shall have regard to the security, privacy and safety of property and persons affected.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6" w:name="s2_p8"/>
            <w:bookmarkEnd w:id="26"/>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480"/>
              <w:jc w:val="left"/>
            </w:pPr>
            <w:r w:rsidRPr="00ED04AB">
              <w:t>(</w:t>
            </w:r>
            <w:r w:rsidRPr="00ED04AB">
              <w:rPr>
                <w:i/>
                <w:iCs/>
              </w:rPr>
              <w:t>c</w:t>
            </w:r>
            <w:r w:rsidRPr="00ED04AB">
              <w:t xml:space="preserve">) In this subsection “planning authority” has the meaning assigned by section 2(2) of the </w:t>
            </w:r>
            <w:hyperlink r:id="rId15" w:anchor="zza28y1963" w:history="1">
              <w:r w:rsidRPr="00ED04AB">
                <w:rPr>
                  <w:color w:val="0000FF"/>
                  <w:u w:val="single"/>
                </w:rPr>
                <w:t>Local Government (Planning and Development) Act, 1963</w:t>
              </w:r>
            </w:hyperlink>
            <w:r w:rsidRPr="00ED04AB">
              <w:t xml:space="preserve"> .</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left"/>
            </w:pPr>
            <w:bookmarkStart w:id="27" w:name="sec3"/>
            <w:bookmarkEnd w:id="27"/>
            <w:r w:rsidRPr="00ED04AB">
              <w:rPr>
                <w:sz w:val="20"/>
                <w:szCs w:val="20"/>
              </w:rPr>
              <w:t>Appointment and functions of authorised officers.</w:t>
            </w:r>
          </w:p>
        </w:tc>
        <w:tc>
          <w:tcPr>
            <w:tcW w:w="0" w:type="auto"/>
            <w:hideMark/>
          </w:tcPr>
          <w:p w:rsidR="00ED04AB" w:rsidRPr="00ED04AB" w:rsidRDefault="00ED04AB" w:rsidP="00ED04AB">
            <w:pPr>
              <w:spacing w:before="100" w:beforeAutospacing="1" w:line="240" w:lineRule="auto"/>
              <w:ind w:firstLine="240"/>
              <w:jc w:val="left"/>
            </w:pPr>
            <w:bookmarkStart w:id="28" w:name="s3_p0"/>
            <w:bookmarkEnd w:id="28"/>
            <w:r w:rsidRPr="00ED04AB">
              <w:rPr>
                <w:b/>
                <w:bCs/>
              </w:rPr>
              <w:t>3.</w:t>
            </w:r>
            <w:r w:rsidRPr="00ED04AB">
              <w:t>—(1) The Minister, or an officer of the Minister authorised by him or her in that behalf, may, in writing, appoint persons as authorised officers for the purposes of this section.</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29" w:name="s3_p1"/>
            <w:bookmarkEnd w:id="29"/>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 xml:space="preserve">(2) Every person appointed under </w:t>
            </w:r>
            <w:r w:rsidRPr="00ED04AB">
              <w:rPr>
                <w:i/>
                <w:iCs/>
              </w:rPr>
              <w:t>subsection (1)</w:t>
            </w:r>
            <w:r w:rsidRPr="00ED04AB">
              <w:t xml:space="preserve"> shall, on </w:t>
            </w:r>
            <w:r w:rsidRPr="00ED04AB">
              <w:lastRenderedPageBreak/>
              <w:t>appointment, be provided by the Minister or the appointing officer, as the case may be, with a certificate of appointment.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0" w:name="s3_p2"/>
            <w:bookmarkEnd w:id="30"/>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(3) When exercising a function conferred by this section, an authorised officer shall, if requested by any person affected, inform such person of the nature of the function being exercised and produce for inspection that officer's certificate of appointment.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1" w:name="s3_p3"/>
            <w:bookmarkEnd w:id="31"/>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 xml:space="preserve">(4) Subject to </w:t>
            </w:r>
            <w:r w:rsidRPr="00ED04AB">
              <w:rPr>
                <w:i/>
                <w:iCs/>
              </w:rPr>
              <w:t>subsection (5)</w:t>
            </w:r>
            <w:r w:rsidRPr="00ED04AB">
              <w:t>, an authorised officer may do any or all of the following:</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2" w:name="s3_p4"/>
            <w:bookmarkEnd w:id="32"/>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r w:rsidRPr="00ED04AB">
              <w:rPr>
                <w:i/>
                <w:iCs/>
              </w:rPr>
              <w:t>a</w:t>
            </w:r>
            <w:r w:rsidRPr="00ED04AB">
              <w:t>) at all reasonable times enter any premises for the purposes of the establishment and maintenance of the inventory;</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3" w:name="s3_p5"/>
            <w:bookmarkEnd w:id="33"/>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proofErr w:type="spellStart"/>
            <w:r w:rsidRPr="00ED04AB">
              <w:rPr>
                <w:i/>
                <w:iCs/>
              </w:rPr>
              <w:t>b</w:t>
            </w:r>
            <w:proofErr w:type="spellEnd"/>
            <w:r w:rsidRPr="00ED04AB">
              <w:t>) in any premises entered under this section do all things necessary for or incidental to those purposes;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4" w:name="s3_p6"/>
            <w:bookmarkEnd w:id="34"/>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r w:rsidRPr="00ED04AB">
              <w:rPr>
                <w:i/>
                <w:iCs/>
              </w:rPr>
              <w:t>c</w:t>
            </w:r>
            <w:r w:rsidRPr="00ED04AB">
              <w:t xml:space="preserve">) </w:t>
            </w:r>
            <w:proofErr w:type="gramStart"/>
            <w:r w:rsidRPr="00ED04AB">
              <w:t>require</w:t>
            </w:r>
            <w:proofErr w:type="gramEnd"/>
            <w:r w:rsidRPr="00ED04AB">
              <w:t xml:space="preserve"> any occupier of the premises to give the authorised officer such assistance as he or she may reasonably require for those purposes.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5" w:name="s3_p7"/>
            <w:bookmarkEnd w:id="35"/>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840"/>
              <w:jc w:val="left"/>
            </w:pPr>
            <w:r w:rsidRPr="00ED04AB">
              <w:t>(5) (</w:t>
            </w:r>
            <w:r w:rsidRPr="00ED04AB">
              <w:rPr>
                <w:i/>
                <w:iCs/>
              </w:rPr>
              <w:t>a</w:t>
            </w:r>
            <w:r w:rsidRPr="00ED04AB">
              <w:t>) An authorised officer shall not enter a private dwelling, or such part of any premises as constitutes a private dwelling, except—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6" w:name="s3_p8"/>
            <w:bookmarkEnd w:id="36"/>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440" w:hanging="360"/>
              <w:jc w:val="left"/>
            </w:pPr>
            <w:r w:rsidRPr="00ED04AB">
              <w:t>(</w:t>
            </w:r>
            <w:proofErr w:type="spellStart"/>
            <w:r w:rsidRPr="00ED04AB">
              <w:t>i</w:t>
            </w:r>
            <w:proofErr w:type="spellEnd"/>
            <w:r w:rsidRPr="00ED04AB">
              <w:t>) where he or she considers it necessary for the purposes of his or her functions under this section, and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7" w:name="s3_p9"/>
            <w:bookmarkEnd w:id="37"/>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800" w:hanging="720"/>
              <w:jc w:val="left"/>
            </w:pPr>
            <w:r w:rsidRPr="00ED04AB">
              <w:t>(ii) (I) with the consent of the occupier, or</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8" w:name="s3_p10"/>
            <w:bookmarkEnd w:id="38"/>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800" w:hanging="480"/>
              <w:jc w:val="left"/>
            </w:pPr>
            <w:r w:rsidRPr="00ED04AB">
              <w:t xml:space="preserve">(II) </w:t>
            </w:r>
            <w:proofErr w:type="gramStart"/>
            <w:r w:rsidRPr="00ED04AB">
              <w:t>in</w:t>
            </w:r>
            <w:proofErr w:type="gramEnd"/>
            <w:r w:rsidRPr="00ED04AB">
              <w:t xml:space="preserve"> accordance with a warrant issued under </w:t>
            </w:r>
            <w:r w:rsidRPr="00ED04AB">
              <w:rPr>
                <w:i/>
                <w:iCs/>
              </w:rPr>
              <w:t>subsection (8)</w:t>
            </w:r>
            <w:r w:rsidRPr="00ED04AB">
              <w: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39" w:name="s3_p11"/>
            <w:bookmarkEnd w:id="39"/>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360"/>
              <w:jc w:val="left"/>
            </w:pPr>
            <w:r w:rsidRPr="00ED04AB">
              <w:t>(</w:t>
            </w:r>
            <w:proofErr w:type="spellStart"/>
            <w:r w:rsidRPr="00ED04AB">
              <w:rPr>
                <w:i/>
                <w:iCs/>
              </w:rPr>
              <w:t>b</w:t>
            </w:r>
            <w:proofErr w:type="spellEnd"/>
            <w:r w:rsidRPr="00ED04AB">
              <w:t xml:space="preserve">) Where an authorised officer in the exercise of functions under this section intends to enter a private dwelling, then he or she shall, in addition to informing any other person in accordance with </w:t>
            </w:r>
            <w:r w:rsidRPr="00ED04AB">
              <w:rPr>
                <w:i/>
                <w:iCs/>
              </w:rPr>
              <w:t>subsection (3)</w:t>
            </w:r>
            <w:r w:rsidRPr="00ED04AB">
              <w:t>, inform the occupier of the dwelling of—</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0" w:name="s3_p12"/>
            <w:bookmarkEnd w:id="40"/>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440" w:hanging="360"/>
              <w:jc w:val="left"/>
            </w:pPr>
            <w:r w:rsidRPr="00ED04AB">
              <w:t>(</w:t>
            </w:r>
            <w:proofErr w:type="spellStart"/>
            <w:r w:rsidRPr="00ED04AB">
              <w:t>i</w:t>
            </w:r>
            <w:proofErr w:type="spellEnd"/>
            <w:r w:rsidRPr="00ED04AB">
              <w:t>) the nature of that function being exercised, and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1" w:name="s3_p13"/>
            <w:bookmarkEnd w:id="41"/>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440" w:hanging="360"/>
              <w:jc w:val="left"/>
            </w:pPr>
            <w:r w:rsidRPr="00ED04AB">
              <w:t>(ii) the reasons why the authorised officer considers it necessary to gain entry,</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2" w:name="s3_p14"/>
            <w:bookmarkEnd w:id="42"/>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jc w:val="left"/>
            </w:pPr>
            <w:proofErr w:type="gramStart"/>
            <w:r w:rsidRPr="00ED04AB">
              <w:t>and</w:t>
            </w:r>
            <w:proofErr w:type="gramEnd"/>
            <w:r w:rsidRPr="00ED04AB">
              <w:t xml:space="preserve"> the officer shall give an opportunity to the </w:t>
            </w:r>
            <w:r w:rsidRPr="00ED04AB">
              <w:lastRenderedPageBreak/>
              <w:t>occupier to give reasons why entry should be refused.</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3" w:name="s3_p15"/>
            <w:bookmarkEnd w:id="43"/>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(6) Where an authorised officer in the exercise of functions under this section is prevented from entering any premises or a part of any premises (including any refusal to permit entry to a private dwelling), the officer may apply to a judge of the District Court having jurisdiction in the District Court district in which the premises are situated for a warrant authorising the officer to enter those premises.</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4" w:name="s3_p16"/>
            <w:bookmarkEnd w:id="44"/>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 xml:space="preserve">(7) Notice of an application under </w:t>
            </w:r>
            <w:r w:rsidRPr="00ED04AB">
              <w:rPr>
                <w:i/>
                <w:iCs/>
              </w:rPr>
              <w:t>subsection (6)</w:t>
            </w:r>
            <w:r w:rsidRPr="00ED04AB">
              <w:t xml:space="preserve"> shall be given to the occupier of the premises in respect of which the application is being made, or, if the premises are unoccupied, to the owner.</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5" w:name="s3_p17"/>
            <w:bookmarkEnd w:id="45"/>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 xml:space="preserve">(8) If, on application under </w:t>
            </w:r>
            <w:r w:rsidRPr="00ED04AB">
              <w:rPr>
                <w:i/>
                <w:iCs/>
              </w:rPr>
              <w:t>subsection (6)</w:t>
            </w:r>
            <w:r w:rsidRPr="00ED04AB">
              <w:t xml:space="preserve">, a judge of the District Court is satisfied on the sworn information of the authorised officer concerned that he or she has, in the exercise of functions conferred under this section, been prevented from entering any premises or a part of any premises, the judge may issue a warrant authorising the officer, at any time or times within one month from the date of issue of the warrant, to enter those premises and exercise any or all of the functions conferred under </w:t>
            </w:r>
            <w:r w:rsidRPr="00ED04AB">
              <w:rPr>
                <w:i/>
                <w:iCs/>
              </w:rPr>
              <w:t>subsection (4)</w:t>
            </w:r>
            <w:r w:rsidRPr="00ED04AB">
              <w: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left"/>
            </w:pPr>
            <w:bookmarkStart w:id="46" w:name="sec4"/>
            <w:bookmarkEnd w:id="46"/>
            <w:r w:rsidRPr="00ED04AB">
              <w:rPr>
                <w:sz w:val="20"/>
                <w:szCs w:val="20"/>
              </w:rPr>
              <w:t>Offence and penalty.</w:t>
            </w:r>
          </w:p>
        </w:tc>
        <w:tc>
          <w:tcPr>
            <w:tcW w:w="0" w:type="auto"/>
            <w:hideMark/>
          </w:tcPr>
          <w:p w:rsidR="00ED04AB" w:rsidRPr="00ED04AB" w:rsidRDefault="00ED04AB" w:rsidP="00ED04AB">
            <w:pPr>
              <w:spacing w:before="100" w:beforeAutospacing="1" w:line="240" w:lineRule="auto"/>
              <w:ind w:firstLine="240"/>
              <w:jc w:val="left"/>
            </w:pPr>
            <w:bookmarkStart w:id="47" w:name="s4_p0"/>
            <w:bookmarkEnd w:id="47"/>
            <w:r w:rsidRPr="00ED04AB">
              <w:rPr>
                <w:b/>
                <w:bCs/>
              </w:rPr>
              <w:t>4.</w:t>
            </w:r>
            <w:r w:rsidRPr="00ED04AB">
              <w:t>—(1) A person shall be guilty of an offence if he or she—</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8" w:name="s4_p1"/>
            <w:bookmarkEnd w:id="48"/>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r w:rsidRPr="00ED04AB">
              <w:rPr>
                <w:i/>
                <w:iCs/>
              </w:rPr>
              <w:t>a</w:t>
            </w:r>
            <w:r w:rsidRPr="00ED04AB">
              <w:t xml:space="preserve">) obstructs or interferes with an authorised officer in the exercise of the officer's functions under </w:t>
            </w:r>
            <w:hyperlink r:id="rId16" w:anchor="sec3" w:history="1">
              <w:r w:rsidRPr="00ED04AB">
                <w:rPr>
                  <w:i/>
                  <w:iCs/>
                  <w:color w:val="0000FF"/>
                  <w:u w:val="single"/>
                </w:rPr>
                <w:t>section 3</w:t>
              </w:r>
            </w:hyperlink>
            <w:r w:rsidRPr="00ED04AB">
              <w:rPr>
                <w:i/>
                <w:iCs/>
              </w:rPr>
              <w:t xml:space="preserve"> (4),</w:t>
            </w:r>
            <w:r w:rsidRPr="00ED04AB">
              <w:t xml:space="preserve"> or</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49" w:name="s4_p2"/>
            <w:bookmarkEnd w:id="49"/>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left="1080" w:hanging="600"/>
              <w:jc w:val="left"/>
            </w:pPr>
            <w:r w:rsidRPr="00ED04AB">
              <w:t>(</w:t>
            </w:r>
            <w:proofErr w:type="spellStart"/>
            <w:r w:rsidRPr="00ED04AB">
              <w:rPr>
                <w:i/>
                <w:iCs/>
              </w:rPr>
              <w:t>b</w:t>
            </w:r>
            <w:proofErr w:type="spellEnd"/>
            <w:r w:rsidRPr="00ED04AB">
              <w:t xml:space="preserve">) </w:t>
            </w:r>
            <w:proofErr w:type="gramStart"/>
            <w:r w:rsidRPr="00ED04AB">
              <w:t>without</w:t>
            </w:r>
            <w:proofErr w:type="gramEnd"/>
            <w:r w:rsidRPr="00ED04AB">
              <w:t xml:space="preserve"> reasonable excuse, fails to comply with a requirement under </w:t>
            </w:r>
            <w:hyperlink r:id="rId17" w:anchor="sec3" w:history="1">
              <w:r w:rsidRPr="00ED04AB">
                <w:rPr>
                  <w:i/>
                  <w:iCs/>
                  <w:color w:val="0000FF"/>
                  <w:u w:val="single"/>
                </w:rPr>
                <w:t>section 3</w:t>
              </w:r>
            </w:hyperlink>
            <w:r w:rsidRPr="00ED04AB">
              <w:rPr>
                <w:i/>
                <w:iCs/>
              </w:rPr>
              <w:t xml:space="preserve"> (4)(c).</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0" w:name="s4_p3"/>
            <w:bookmarkEnd w:id="50"/>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(2) A person who is guilty of an offence under this section shall be liable on summary conviction to a fine not exceeding £1,500.</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1" w:name="s4_p4"/>
            <w:bookmarkEnd w:id="51"/>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(3) Proceedings in respect of a summary offence under this section may be brought and prosecuted by the Minister.</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left"/>
            </w:pPr>
            <w:bookmarkStart w:id="52" w:name="sec5"/>
            <w:bookmarkEnd w:id="52"/>
            <w:r w:rsidRPr="00ED04AB">
              <w:rPr>
                <w:sz w:val="20"/>
                <w:szCs w:val="20"/>
              </w:rPr>
              <w:t>Obligations of sanitary authorities in respect of registered historic monuments.</w:t>
            </w:r>
          </w:p>
        </w:tc>
        <w:tc>
          <w:tcPr>
            <w:tcW w:w="0" w:type="auto"/>
            <w:hideMark/>
          </w:tcPr>
          <w:p w:rsidR="00ED04AB" w:rsidRPr="00ED04AB" w:rsidRDefault="00ED04AB" w:rsidP="00ED04AB">
            <w:pPr>
              <w:spacing w:before="100" w:beforeAutospacing="1" w:line="240" w:lineRule="auto"/>
              <w:ind w:firstLine="240"/>
              <w:jc w:val="left"/>
            </w:pPr>
            <w:bookmarkStart w:id="53" w:name="s5_p0"/>
            <w:bookmarkEnd w:id="53"/>
            <w:r w:rsidRPr="00ED04AB">
              <w:rPr>
                <w:b/>
                <w:bCs/>
              </w:rPr>
              <w:t>5.</w:t>
            </w:r>
            <w:r w:rsidRPr="00ED04AB">
              <w:t>—(1) In this section—</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4" w:name="s5_p1"/>
            <w:bookmarkEnd w:id="54"/>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 xml:space="preserve">“the Act of 1964” means the </w:t>
            </w:r>
            <w:hyperlink r:id="rId18" w:anchor="zza29y1964" w:history="1">
              <w:r w:rsidRPr="00ED04AB">
                <w:rPr>
                  <w:color w:val="0000FF"/>
                  <w:u w:val="single"/>
                </w:rPr>
                <w:t>Local Government (Sanitary Services) Act, 1964</w:t>
              </w:r>
            </w:hyperlink>
            <w:r w:rsidRPr="00ED04AB">
              <w:t xml:space="preserve"> ;</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5" w:name="s5_p2"/>
            <w:bookmarkEnd w:id="55"/>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jc w:val="left"/>
            </w:pPr>
            <w:r w:rsidRPr="00ED04AB">
              <w:t>“</w:t>
            </w:r>
            <w:proofErr w:type="gramStart"/>
            <w:r w:rsidRPr="00ED04AB">
              <w:t>monument</w:t>
            </w:r>
            <w:proofErr w:type="gramEnd"/>
            <w:r w:rsidRPr="00ED04AB">
              <w:t xml:space="preserve">” means any historic monument entered in the Register of Historic Monuments under </w:t>
            </w:r>
            <w:hyperlink r:id="rId19" w:anchor="zza17y1987s5" w:history="1">
              <w:r w:rsidRPr="00ED04AB">
                <w:rPr>
                  <w:color w:val="0000FF"/>
                  <w:u w:val="single"/>
                </w:rPr>
                <w:t xml:space="preserve">section 5 of the National </w:t>
              </w:r>
              <w:r w:rsidRPr="00ED04AB">
                <w:rPr>
                  <w:color w:val="0000FF"/>
                  <w:u w:val="single"/>
                </w:rPr>
                <w:lastRenderedPageBreak/>
                <w:t>Monuments (Amendment) Act, 1987</w:t>
              </w:r>
            </w:hyperlink>
            <w:r w:rsidRPr="00ED04AB">
              <w:t xml:space="preserve"> .</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6" w:name="s5_p3"/>
            <w:bookmarkEnd w:id="56"/>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(2) As soon as practicable after serving or proposing to serve a notice under section 3(1) of the Act of 1964 in respect of a monument, a sanitary authority shall inform the Minister of the particulars of the notice.</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7" w:name="s5_p4"/>
            <w:bookmarkEnd w:id="57"/>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(3) A sanitary authority which under section 3(2) of the Act of 1964 carries out works on a monument shall as far as possible preserve the monument in as much as its preservation is not likely to cause a danger to any person or property.</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8" w:name="s5_p5"/>
            <w:bookmarkEnd w:id="58"/>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(4) As soon as practicable after carrying out works under section 3(2) of the Act of 1964 on a monument, a sanitary authority shall inform the Minister of the works which have been carried out.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bookmarkStart w:id="59" w:name="s5_p6"/>
            <w:bookmarkEnd w:id="59"/>
          </w:p>
        </w:tc>
        <w:tc>
          <w:tcPr>
            <w:tcW w:w="0" w:type="auto"/>
            <w:vAlign w:val="center"/>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line="240" w:lineRule="auto"/>
              <w:ind w:firstLine="240"/>
              <w:jc w:val="left"/>
            </w:pPr>
            <w:r w:rsidRPr="00ED04AB">
              <w:t>(5) The provisions of this section are in addition to and not in substitution for any provisions of the National Monuments Acts, 1930 to 1994.</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left"/>
            </w:pPr>
            <w:bookmarkStart w:id="60" w:name="sec6"/>
            <w:bookmarkEnd w:id="60"/>
            <w:r w:rsidRPr="00ED04AB">
              <w:rPr>
                <w:sz w:val="20"/>
                <w:szCs w:val="20"/>
              </w:rPr>
              <w:t>Expenses of Minister.</w:t>
            </w:r>
          </w:p>
        </w:tc>
        <w:tc>
          <w:tcPr>
            <w:tcW w:w="0" w:type="auto"/>
            <w:hideMark/>
          </w:tcPr>
          <w:p w:rsidR="00ED04AB" w:rsidRPr="00ED04AB" w:rsidRDefault="00ED04AB" w:rsidP="00ED04AB">
            <w:pPr>
              <w:spacing w:before="100" w:beforeAutospacing="1" w:line="240" w:lineRule="auto"/>
              <w:ind w:firstLine="240"/>
              <w:jc w:val="left"/>
            </w:pPr>
            <w:bookmarkStart w:id="61" w:name="s6_p0"/>
            <w:bookmarkEnd w:id="61"/>
            <w:r w:rsidRPr="00ED04AB">
              <w:rPr>
                <w:b/>
                <w:bCs/>
              </w:rPr>
              <w:t>6.</w:t>
            </w:r>
            <w:r w:rsidRPr="00ED04AB">
              <w:t xml:space="preserve">—The expenses incurred by the Minister in the administration of this Act shall, to such extent as may be sanctioned by the Minister for Finance, be paid out of monies provided by the </w:t>
            </w:r>
            <w:proofErr w:type="spellStart"/>
            <w:r w:rsidRPr="00ED04AB">
              <w:t>Oireachtas</w:t>
            </w:r>
            <w:proofErr w:type="spellEnd"/>
            <w:r w:rsidRPr="00ED04AB">
              <w:t>.</w:t>
            </w:r>
          </w:p>
        </w:tc>
      </w:tr>
      <w:tr w:rsidR="00ED04AB" w:rsidRPr="00ED04AB" w:rsidTr="00ED04AB">
        <w:trPr>
          <w:tblCellSpacing w:w="75" w:type="dxa"/>
        </w:trPr>
        <w:tc>
          <w:tcPr>
            <w:tcW w:w="0" w:type="auto"/>
            <w:hideMark/>
          </w:tcPr>
          <w:p w:rsidR="00ED04AB" w:rsidRPr="00ED04AB" w:rsidRDefault="00ED04AB" w:rsidP="00ED04AB">
            <w:pPr>
              <w:spacing w:before="0" w:after="0" w:line="240" w:lineRule="auto"/>
              <w:jc w:val="left"/>
            </w:pPr>
          </w:p>
        </w:tc>
        <w:tc>
          <w:tcPr>
            <w:tcW w:w="0" w:type="auto"/>
            <w:hideMark/>
          </w:tcPr>
          <w:p w:rsidR="00ED04AB" w:rsidRPr="00ED04AB" w:rsidRDefault="00ED04AB" w:rsidP="00ED04AB">
            <w:pPr>
              <w:spacing w:before="100" w:beforeAutospacing="1" w:after="100" w:afterAutospacing="1" w:line="240" w:lineRule="auto"/>
              <w:jc w:val="left"/>
            </w:pPr>
            <w:bookmarkStart w:id="62" w:name="sec7"/>
            <w:bookmarkEnd w:id="62"/>
            <w:r w:rsidRPr="00ED04AB">
              <w:rPr>
                <w:sz w:val="20"/>
                <w:szCs w:val="20"/>
              </w:rPr>
              <w:t>Short title.</w:t>
            </w:r>
          </w:p>
        </w:tc>
        <w:tc>
          <w:tcPr>
            <w:tcW w:w="0" w:type="auto"/>
            <w:hideMark/>
          </w:tcPr>
          <w:p w:rsidR="00ED04AB" w:rsidRPr="00ED04AB" w:rsidRDefault="00ED04AB" w:rsidP="00ED04AB">
            <w:pPr>
              <w:spacing w:before="100" w:beforeAutospacing="1" w:line="240" w:lineRule="auto"/>
              <w:ind w:firstLine="240"/>
              <w:jc w:val="left"/>
            </w:pPr>
            <w:bookmarkStart w:id="63" w:name="s7_p0"/>
            <w:bookmarkEnd w:id="63"/>
            <w:r w:rsidRPr="00ED04AB">
              <w:rPr>
                <w:b/>
                <w:bCs/>
              </w:rPr>
              <w:t>7.</w:t>
            </w:r>
            <w:r w:rsidRPr="00ED04AB">
              <w:t xml:space="preserve">—This Act may be cited as the </w:t>
            </w:r>
            <w:hyperlink r:id="rId20" w:history="1">
              <w:r w:rsidRPr="00ED04AB">
                <w:rPr>
                  <w:color w:val="0000FF"/>
                  <w:u w:val="single"/>
                </w:rPr>
                <w:t>Architectural Heritage (National Inventory) and Historic Monuments (Miscellaneous Provisions) Act, 1999</w:t>
              </w:r>
            </w:hyperlink>
            <w:r w:rsidRPr="00ED04AB">
              <w:t xml:space="preserve"> .</w:t>
            </w:r>
          </w:p>
        </w:tc>
      </w:tr>
    </w:tbl>
    <w:p w:rsidR="00640AC1" w:rsidRDefault="00ED04AB">
      <w:r>
        <w:t xml:space="preserve">Source: </w:t>
      </w:r>
      <w:r w:rsidRPr="00ED04AB">
        <w:t>http://www.irishstatutebook.ie/1999/en/act/pub/0019/print.html</w:t>
      </w:r>
    </w:p>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04AB"/>
    <w:rsid w:val="001144C2"/>
    <w:rsid w:val="00640AC1"/>
    <w:rsid w:val="00B60FA1"/>
    <w:rsid w:val="00D6186A"/>
    <w:rsid w:val="00ED04AB"/>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paragraph" w:styleId="NormalWeb">
    <w:name w:val="Normal (Web)"/>
    <w:basedOn w:val="Normal"/>
    <w:uiPriority w:val="99"/>
    <w:unhideWhenUsed/>
    <w:rsid w:val="00ED04AB"/>
    <w:pPr>
      <w:spacing w:before="100" w:beforeAutospacing="1" w:after="100" w:afterAutospacing="1" w:line="240" w:lineRule="auto"/>
      <w:jc w:val="left"/>
    </w:pPr>
  </w:style>
  <w:style w:type="character" w:styleId="Hyperlink">
    <w:name w:val="Hyperlink"/>
    <w:basedOn w:val="DefaultParagraphFont"/>
    <w:uiPriority w:val="99"/>
    <w:semiHidden/>
    <w:unhideWhenUsed/>
    <w:rsid w:val="00ED04AB"/>
    <w:rPr>
      <w:color w:val="0000FF"/>
      <w:u w:val="single"/>
    </w:rPr>
  </w:style>
  <w:style w:type="paragraph" w:styleId="BalloonText">
    <w:name w:val="Balloon Text"/>
    <w:basedOn w:val="Normal"/>
    <w:link w:val="BalloonTextChar"/>
    <w:uiPriority w:val="99"/>
    <w:semiHidden/>
    <w:unhideWhenUsed/>
    <w:rsid w:val="00ED04A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4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030475">
      <w:bodyDiv w:val="1"/>
      <w:marLeft w:val="0"/>
      <w:marRight w:val="0"/>
      <w:marTop w:val="0"/>
      <w:marBottom w:val="0"/>
      <w:divBdr>
        <w:top w:val="none" w:sz="0" w:space="0" w:color="auto"/>
        <w:left w:val="none" w:sz="0" w:space="0" w:color="auto"/>
        <w:bottom w:val="none" w:sz="0" w:space="0" w:color="auto"/>
        <w:right w:val="none" w:sz="0" w:space="0" w:color="auto"/>
      </w:divBdr>
      <w:divsChild>
        <w:div w:id="1220627666">
          <w:marLeft w:val="0"/>
          <w:marRight w:val="0"/>
          <w:marTop w:val="0"/>
          <w:marBottom w:val="0"/>
          <w:divBdr>
            <w:top w:val="none" w:sz="0" w:space="0" w:color="auto"/>
            <w:left w:val="none" w:sz="0" w:space="0" w:color="auto"/>
            <w:bottom w:val="none" w:sz="0" w:space="0" w:color="auto"/>
            <w:right w:val="none" w:sz="0" w:space="0" w:color="auto"/>
          </w:divBdr>
          <w:divsChild>
            <w:div w:id="154999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1999/en/act/pub/0019/print.html" TargetMode="External"/><Relationship Id="rId13" Type="http://schemas.openxmlformats.org/officeDocument/2006/relationships/hyperlink" Target="http://www.irishstatutebook.ie/1999/en/act/pub/0019/sec0003.html" TargetMode="External"/><Relationship Id="rId18" Type="http://schemas.openxmlformats.org/officeDocument/2006/relationships/hyperlink" Target="http://www.irishstatutebook.ie/1964/en/act/pub/0029/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rishstatutebook.ie/1999/en/act/pub/0019/print.html" TargetMode="External"/><Relationship Id="rId12" Type="http://schemas.openxmlformats.org/officeDocument/2006/relationships/hyperlink" Target="http://www.irishstatutebook.ie/1999/en/act/pub/0019/print.html" TargetMode="External"/><Relationship Id="rId17" Type="http://schemas.openxmlformats.org/officeDocument/2006/relationships/hyperlink" Target="http://www.irishstatutebook.ie/1999/en/act/pub/0019/sec0003.html" TargetMode="External"/><Relationship Id="rId2" Type="http://schemas.openxmlformats.org/officeDocument/2006/relationships/styles" Target="styles.xml"/><Relationship Id="rId16" Type="http://schemas.openxmlformats.org/officeDocument/2006/relationships/hyperlink" Target="http://www.irishstatutebook.ie/1999/en/act/pub/0019/sec0003.html" TargetMode="External"/><Relationship Id="rId20" Type="http://schemas.openxmlformats.org/officeDocument/2006/relationships/hyperlink" Target="http://www.irishstatutebook.ie/1999/en/act/pub/0019/index.html" TargetMode="External"/><Relationship Id="rId1" Type="http://schemas.openxmlformats.org/officeDocument/2006/relationships/numbering" Target="numbering.xml"/><Relationship Id="rId6" Type="http://schemas.openxmlformats.org/officeDocument/2006/relationships/hyperlink" Target="http://www.irishstatutebook.ie/1999/en/act/pub/0019/print.html" TargetMode="External"/><Relationship Id="rId11" Type="http://schemas.openxmlformats.org/officeDocument/2006/relationships/hyperlink" Target="http://www.irishstatutebook.ie/1999/en/act/pub/0019/print.html" TargetMode="External"/><Relationship Id="rId5" Type="http://schemas.openxmlformats.org/officeDocument/2006/relationships/image" Target="media/image1.jpeg"/><Relationship Id="rId15" Type="http://schemas.openxmlformats.org/officeDocument/2006/relationships/hyperlink" Target="http://www.irishstatutebook.ie/1963/en/act/pub/0028/index.html" TargetMode="External"/><Relationship Id="rId10" Type="http://schemas.openxmlformats.org/officeDocument/2006/relationships/hyperlink" Target="http://www.irishstatutebook.ie/1999/en/act/pub/0019/print.html" TargetMode="External"/><Relationship Id="rId19" Type="http://schemas.openxmlformats.org/officeDocument/2006/relationships/hyperlink" Target="http://www.irishstatutebook.ie/1987/en/act/pub/0017/sec0005.html" TargetMode="External"/><Relationship Id="rId4" Type="http://schemas.openxmlformats.org/officeDocument/2006/relationships/webSettings" Target="webSettings.xml"/><Relationship Id="rId9" Type="http://schemas.openxmlformats.org/officeDocument/2006/relationships/hyperlink" Target="http://www.irishstatutebook.ie/1999/en/act/pub/0019/print.html" TargetMode="External"/><Relationship Id="rId14" Type="http://schemas.openxmlformats.org/officeDocument/2006/relationships/hyperlink" Target="http://www.irishstatutebook.ie/1999/en/act/pub/0019/sec000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8788</Characters>
  <Application>Microsoft Office Word</Application>
  <DocSecurity>0</DocSecurity>
  <Lines>73</Lines>
  <Paragraphs>20</Paragraphs>
  <ScaleCrop>false</ScaleCrop>
  <Company>UWA Business School</Company>
  <LinksUpToDate>false</LinksUpToDate>
  <CharactersWithSpaces>10309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1</cp:revision>
  <dcterms:created xsi:type="dcterms:W3CDTF">2010-07-16T08:32:00Z</dcterms:created>
  <dcterms:modified xsi:type="dcterms:W3CDTF">2010-07-16T08:32:00Z</dcterms:modified>
</cp:coreProperties>
</file>